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65E1" w14:textId="77777777" w:rsidR="00454000" w:rsidRDefault="00454000" w:rsidP="00454000">
      <w:pPr>
        <w:jc w:val="center"/>
        <w:rPr>
          <w:b/>
        </w:rPr>
      </w:pPr>
      <w:proofErr w:type="spellStart"/>
      <w:r>
        <w:rPr>
          <w:b/>
        </w:rPr>
        <w:t>Foodprint</w:t>
      </w:r>
      <w:proofErr w:type="spellEnd"/>
    </w:p>
    <w:p w14:paraId="43D03038" w14:textId="77777777" w:rsidR="00454000" w:rsidRDefault="00454000" w:rsidP="00454000">
      <w:pPr>
        <w:jc w:val="center"/>
        <w:rPr>
          <w:b/>
        </w:rPr>
      </w:pPr>
      <w:r>
        <w:rPr>
          <w:b/>
        </w:rPr>
        <w:t>Understanding Connections Between Food Choices and the Environment</w:t>
      </w:r>
    </w:p>
    <w:p w14:paraId="24D6B920" w14:textId="77777777" w:rsidR="00454000" w:rsidRDefault="00454000" w:rsidP="00454000">
      <w:pPr>
        <w:jc w:val="center"/>
        <w:rPr>
          <w:b/>
        </w:rPr>
      </w:pPr>
      <w:r>
        <w:rPr>
          <w:b/>
        </w:rPr>
        <w:t>Prof. Jennifer Jay</w:t>
      </w:r>
    </w:p>
    <w:p w14:paraId="5C88BFDD" w14:textId="77777777" w:rsidR="00454000" w:rsidRDefault="00454000" w:rsidP="00454000">
      <w:pPr>
        <w:jc w:val="center"/>
        <w:rPr>
          <w:b/>
        </w:rPr>
      </w:pPr>
    </w:p>
    <w:p w14:paraId="053566D1" w14:textId="31B144EF" w:rsidR="00454000" w:rsidRDefault="00454000" w:rsidP="00454000">
      <w:pPr>
        <w:jc w:val="center"/>
        <w:rPr>
          <w:b/>
        </w:rPr>
      </w:pPr>
      <w:r>
        <w:rPr>
          <w:b/>
        </w:rPr>
        <w:t xml:space="preserve">Chapter </w:t>
      </w:r>
      <w:r w:rsidR="00B56C3F">
        <w:rPr>
          <w:b/>
        </w:rPr>
        <w:t>8</w:t>
      </w:r>
      <w:bookmarkStart w:id="0" w:name="_GoBack"/>
      <w:bookmarkEnd w:id="0"/>
    </w:p>
    <w:p w14:paraId="6CB6181F" w14:textId="46B7C4CB" w:rsidR="00454000" w:rsidRDefault="00454000" w:rsidP="00454000">
      <w:pPr>
        <w:jc w:val="center"/>
        <w:rPr>
          <w:b/>
        </w:rPr>
      </w:pPr>
      <w:r>
        <w:rPr>
          <w:b/>
        </w:rPr>
        <w:t>Antibiotic Resistance and Agriculture</w:t>
      </w:r>
    </w:p>
    <w:p w14:paraId="20C83FF2" w14:textId="77777777" w:rsidR="00454000" w:rsidRDefault="00454000" w:rsidP="00454000">
      <w:pPr>
        <w:rPr>
          <w:b/>
        </w:rPr>
      </w:pPr>
    </w:p>
    <w:p w14:paraId="3D49E2EF" w14:textId="77777777" w:rsidR="00454000" w:rsidRDefault="00454000" w:rsidP="00454000">
      <w:pPr>
        <w:rPr>
          <w:b/>
        </w:rPr>
      </w:pPr>
      <w:r>
        <w:rPr>
          <w:b/>
        </w:rPr>
        <w:t>Section 1.  Learning Outcomes</w:t>
      </w:r>
    </w:p>
    <w:p w14:paraId="5693B141" w14:textId="77777777" w:rsidR="00454000" w:rsidRDefault="00454000" w:rsidP="00454000">
      <w:pPr>
        <w:rPr>
          <w:b/>
        </w:rPr>
      </w:pPr>
    </w:p>
    <w:p w14:paraId="7B0400EC" w14:textId="2928AF38" w:rsidR="00454000" w:rsidRDefault="00454000" w:rsidP="00454000">
      <w:pPr>
        <w:rPr>
          <w:rFonts w:ascii="Calibri" w:hAnsi="Calibri"/>
        </w:rPr>
      </w:pPr>
      <w:r w:rsidRPr="00741FC7">
        <w:rPr>
          <w:rFonts w:ascii="Calibri" w:hAnsi="Calibri"/>
        </w:rPr>
        <w:t>By the end of this chapter, you will be able to:</w:t>
      </w:r>
    </w:p>
    <w:p w14:paraId="18D6BCCE" w14:textId="712B0751" w:rsidR="00454000" w:rsidRPr="00454000" w:rsidRDefault="00454000" w:rsidP="00454000">
      <w:pPr>
        <w:pStyle w:val="ListParagraph"/>
        <w:numPr>
          <w:ilvl w:val="0"/>
          <w:numId w:val="3"/>
        </w:numPr>
        <w:rPr>
          <w:rFonts w:ascii="Calibri" w:hAnsi="Calibri"/>
        </w:rPr>
      </w:pPr>
      <w:r w:rsidRPr="00454000">
        <w:rPr>
          <w:rFonts w:ascii="Calibri" w:hAnsi="Calibri"/>
        </w:rPr>
        <w:t>Discuss the importance of antibiotic resistance as a global challenge</w:t>
      </w:r>
    </w:p>
    <w:p w14:paraId="65A617EA" w14:textId="5BB09F0D" w:rsidR="00454000" w:rsidRPr="00454000" w:rsidRDefault="00454000" w:rsidP="00454000">
      <w:pPr>
        <w:pStyle w:val="ListParagraph"/>
        <w:numPr>
          <w:ilvl w:val="0"/>
          <w:numId w:val="3"/>
        </w:numPr>
        <w:rPr>
          <w:rFonts w:ascii="Calibri" w:hAnsi="Calibri"/>
        </w:rPr>
      </w:pPr>
      <w:r w:rsidRPr="00454000">
        <w:rPr>
          <w:rFonts w:ascii="Calibri" w:hAnsi="Calibri"/>
        </w:rPr>
        <w:t>Discuss the various ways that antibiotic resistance genes are shared among bacteria, both of the same and different species.</w:t>
      </w:r>
    </w:p>
    <w:p w14:paraId="21D2AE49" w14:textId="07A9B5FA" w:rsidR="00454000" w:rsidRDefault="00454000" w:rsidP="00454000">
      <w:pPr>
        <w:pStyle w:val="ListParagraph"/>
        <w:numPr>
          <w:ilvl w:val="0"/>
          <w:numId w:val="3"/>
        </w:numPr>
        <w:rPr>
          <w:rFonts w:ascii="Calibri" w:hAnsi="Calibri"/>
        </w:rPr>
      </w:pPr>
      <w:r w:rsidRPr="00454000">
        <w:rPr>
          <w:rFonts w:ascii="Calibri" w:hAnsi="Calibri"/>
        </w:rPr>
        <w:t>Understand c</w:t>
      </w:r>
      <w:r w:rsidR="00906434">
        <w:rPr>
          <w:rFonts w:ascii="Calibri" w:hAnsi="Calibri"/>
        </w:rPr>
        <w:t>urrent uses of antibiotics and the trends we are observing in their use.</w:t>
      </w:r>
    </w:p>
    <w:p w14:paraId="14B6FD22" w14:textId="7D58216E" w:rsidR="00906434" w:rsidRDefault="00906434" w:rsidP="00454000">
      <w:pPr>
        <w:pStyle w:val="ListParagraph"/>
        <w:numPr>
          <w:ilvl w:val="0"/>
          <w:numId w:val="3"/>
        </w:numPr>
        <w:rPr>
          <w:rFonts w:ascii="Calibri" w:hAnsi="Calibri"/>
        </w:rPr>
      </w:pPr>
      <w:r>
        <w:rPr>
          <w:rFonts w:ascii="Calibri" w:hAnsi="Calibri"/>
        </w:rPr>
        <w:t>Discuss impacts of environmental antibiotic resistance on humans.</w:t>
      </w:r>
    </w:p>
    <w:p w14:paraId="39077651" w14:textId="75586160" w:rsidR="00906434" w:rsidRPr="00454000" w:rsidRDefault="00906434" w:rsidP="00454000">
      <w:pPr>
        <w:pStyle w:val="ListParagraph"/>
        <w:numPr>
          <w:ilvl w:val="0"/>
          <w:numId w:val="3"/>
        </w:numPr>
        <w:rPr>
          <w:rFonts w:ascii="Calibri" w:hAnsi="Calibri"/>
        </w:rPr>
      </w:pPr>
      <w:r>
        <w:rPr>
          <w:rFonts w:ascii="Calibri" w:hAnsi="Calibri"/>
        </w:rPr>
        <w:t>Discuss trends observed for antibiotic resistance genes in the environment in CA.</w:t>
      </w:r>
    </w:p>
    <w:p w14:paraId="63A456AB" w14:textId="74D8FC18" w:rsidR="00454000" w:rsidRPr="00741FC7" w:rsidRDefault="00454000" w:rsidP="00454000">
      <w:pPr>
        <w:rPr>
          <w:rFonts w:ascii="Calibri" w:hAnsi="Calibri"/>
        </w:rPr>
      </w:pPr>
    </w:p>
    <w:p w14:paraId="0ABA53AD" w14:textId="711DE6C8" w:rsidR="00BA0C3D" w:rsidRPr="00454000" w:rsidRDefault="00454000" w:rsidP="00454000">
      <w:pPr>
        <w:rPr>
          <w:rFonts w:ascii="Calibri" w:hAnsi="Calibri"/>
          <w:b/>
        </w:rPr>
      </w:pPr>
      <w:r w:rsidRPr="00454000">
        <w:rPr>
          <w:rFonts w:ascii="Calibri" w:hAnsi="Calibri"/>
          <w:b/>
        </w:rPr>
        <w:t>Section 2. Chapter Overview</w:t>
      </w:r>
    </w:p>
    <w:p w14:paraId="54F7953F" w14:textId="4AC487F4" w:rsidR="00454000" w:rsidRDefault="00454000" w:rsidP="00454000"/>
    <w:p w14:paraId="70A08776" w14:textId="6B3339EB" w:rsidR="00BB293C" w:rsidRDefault="00BB293C" w:rsidP="00454000">
      <w:r>
        <w:t>After an introduction to the challenge of rising levels of antibiotic resistance, we will discuss the ways in which antibiotic resistance genes can be shared among bacteria.</w:t>
      </w:r>
      <w:r w:rsidR="00906434">
        <w:t xml:space="preserve">  We then briefly touch upon current uses and trends in use for antibiotics, and the development of new antibiotics.  We then discuss the impact of antibiotic resistance in the environment on human health and we will look at some data for California on antibiotic resistance genes.</w:t>
      </w:r>
    </w:p>
    <w:p w14:paraId="530F31DD" w14:textId="77777777" w:rsidR="00BB293C" w:rsidRDefault="00BB293C" w:rsidP="00454000"/>
    <w:p w14:paraId="6E321C87" w14:textId="0F92EDEF" w:rsidR="00454000" w:rsidRPr="00454000" w:rsidRDefault="00454000" w:rsidP="00454000">
      <w:pPr>
        <w:rPr>
          <w:b/>
        </w:rPr>
      </w:pPr>
      <w:r w:rsidRPr="00454000">
        <w:rPr>
          <w:b/>
        </w:rPr>
        <w:t>Section 3. Introduction</w:t>
      </w:r>
    </w:p>
    <w:p w14:paraId="4B567FFF" w14:textId="77777777" w:rsidR="00454000" w:rsidRDefault="00454000" w:rsidP="00454000"/>
    <w:p w14:paraId="6383CEB5" w14:textId="33C92A6D" w:rsidR="001D45F1" w:rsidRPr="001D45F1" w:rsidRDefault="00BA0C3D" w:rsidP="00805DED">
      <w:pPr>
        <w:rPr>
          <w:rFonts w:ascii="Calibri" w:hAnsi="Calibri"/>
          <w:iCs/>
        </w:rPr>
      </w:pPr>
      <w:r w:rsidRPr="00E53F5D">
        <w:rPr>
          <w:rFonts w:ascii="Calibri" w:hAnsi="Calibri"/>
        </w:rPr>
        <w:t>The development of antibiotics over the 20</w:t>
      </w:r>
      <w:r w:rsidRPr="00E53F5D">
        <w:rPr>
          <w:rFonts w:ascii="Calibri" w:hAnsi="Calibri"/>
          <w:vertAlign w:val="superscript"/>
        </w:rPr>
        <w:t>th</w:t>
      </w:r>
      <w:r w:rsidRPr="00E53F5D">
        <w:rPr>
          <w:rFonts w:ascii="Calibri" w:hAnsi="Calibri"/>
        </w:rPr>
        <w:t xml:space="preserve"> century lead to </w:t>
      </w:r>
      <w:r w:rsidRPr="00E53F5D">
        <w:rPr>
          <w:rFonts w:ascii="Calibri" w:hAnsi="Calibri"/>
          <w:i/>
          <w:iCs/>
        </w:rPr>
        <w:t xml:space="preserve">incredible improvements in medical care. </w:t>
      </w:r>
      <w:r w:rsidR="001D45F1">
        <w:rPr>
          <w:rFonts w:ascii="Calibri" w:hAnsi="Calibri"/>
          <w:iCs/>
        </w:rPr>
        <w:t xml:space="preserve">  We take for granted that infections such as those resulting from small surgeries, etc. will be treatable.</w:t>
      </w:r>
    </w:p>
    <w:p w14:paraId="0FEED551" w14:textId="77777777" w:rsidR="001D45F1" w:rsidRDefault="001D45F1" w:rsidP="00805DED">
      <w:pPr>
        <w:rPr>
          <w:rFonts w:ascii="Calibri" w:hAnsi="Calibri"/>
          <w:iCs/>
        </w:rPr>
      </w:pPr>
    </w:p>
    <w:p w14:paraId="476D61B4" w14:textId="7A00ED9A" w:rsidR="001D45F1" w:rsidRDefault="001D45F1" w:rsidP="00805DED">
      <w:pPr>
        <w:rPr>
          <w:rFonts w:ascii="Calibri" w:hAnsi="Calibri"/>
        </w:rPr>
      </w:pPr>
      <w:r>
        <w:rPr>
          <w:rFonts w:ascii="Calibri" w:hAnsi="Calibri"/>
        </w:rPr>
        <w:t xml:space="preserve">However, </w:t>
      </w:r>
      <w:r w:rsidR="003967E2" w:rsidRPr="00E53F5D">
        <w:rPr>
          <w:rFonts w:ascii="Calibri" w:hAnsi="Calibri"/>
        </w:rPr>
        <w:t xml:space="preserve">increasing </w:t>
      </w:r>
      <w:r>
        <w:rPr>
          <w:rFonts w:ascii="Calibri" w:hAnsi="Calibri"/>
        </w:rPr>
        <w:t xml:space="preserve">microbial resistance to our </w:t>
      </w:r>
      <w:r w:rsidR="003967E2" w:rsidRPr="00E53F5D">
        <w:rPr>
          <w:rFonts w:ascii="Calibri" w:hAnsi="Calibri"/>
        </w:rPr>
        <w:t>antibiotic</w:t>
      </w:r>
      <w:r>
        <w:rPr>
          <w:rFonts w:ascii="Calibri" w:hAnsi="Calibri"/>
        </w:rPr>
        <w:t>s</w:t>
      </w:r>
      <w:r w:rsidR="003967E2" w:rsidRPr="00E53F5D">
        <w:rPr>
          <w:rFonts w:ascii="Calibri" w:hAnsi="Calibri"/>
        </w:rPr>
        <w:t xml:space="preserve"> is </w:t>
      </w:r>
      <w:r>
        <w:rPr>
          <w:rFonts w:ascii="Calibri" w:hAnsi="Calibri"/>
        </w:rPr>
        <w:t xml:space="preserve">now </w:t>
      </w:r>
      <w:r w:rsidR="003967E2" w:rsidRPr="00E53F5D">
        <w:rPr>
          <w:rFonts w:ascii="Calibri" w:hAnsi="Calibri"/>
        </w:rPr>
        <w:t xml:space="preserve">a worldwide threat to public health. Certain once-lifesaving drugs are now thought to be “worthless” </w:t>
      </w:r>
      <w:r w:rsidR="003967E2" w:rsidRPr="00E53F5D">
        <w:rPr>
          <w:rFonts w:ascii="Calibri" w:hAnsi="Calibri"/>
        </w:rPr>
        <w:fldChar w:fldCharType="begin" w:fldLock="1"/>
      </w:r>
      <w:r w:rsidR="006042CD">
        <w:rPr>
          <w:rFonts w:ascii="Calibri" w:hAnsi="Calibri"/>
        </w:rPr>
        <w:instrText>ADDIN CSL_CITATION {"citationItems":[{"id":"ITEM-1","itemData":{"author":[{"dropping-particle":"","family":"Woolhouse","given":"Mark","non-dropping-particle":"","parse-names":false,"suffix":""},{"dropping-particle":"","family":"Farrar","given":"J","non-dropping-particle":"","parse-names":false,"suffix":""}],"container-title":"Nature","id":"ITEM-1","issued":{"date-parts":[["2014"]]},"page":"5-7","title":"An intergovernmental panel on antimicrobial resistance","type":"article-journal","volume":"509"},"uris":["http://www.mendeley.com/documents/?uuid=62b4c28d-f73a-468c-8d23-f5c8b36466e4","http://www.mendeley.com/documents/?uuid=a278e789-253b-4478-8919-18572401797e"]}],"mendeley":{"formattedCitation":"(Woolhouse &amp; Farrar, 2014)","plainTextFormattedCitation":"(Woolhouse &amp; Farrar, 2014)","previouslyFormattedCitation":"[1]"},"properties":{"noteIndex":0},"schema":"https://github.com/citation-style-language/schema/raw/master/csl-citation.json"}</w:instrText>
      </w:r>
      <w:r w:rsidR="003967E2" w:rsidRPr="00E53F5D">
        <w:rPr>
          <w:rFonts w:ascii="Calibri" w:hAnsi="Calibri"/>
        </w:rPr>
        <w:fldChar w:fldCharType="separate"/>
      </w:r>
      <w:r w:rsidR="006042CD" w:rsidRPr="006042CD">
        <w:rPr>
          <w:rFonts w:ascii="Calibri" w:hAnsi="Calibri"/>
          <w:noProof/>
        </w:rPr>
        <w:t>(Woolhouse &amp; Farrar, 2014)</w:t>
      </w:r>
      <w:r w:rsidR="003967E2" w:rsidRPr="00E53F5D">
        <w:rPr>
          <w:rFonts w:ascii="Calibri" w:hAnsi="Calibri"/>
        </w:rPr>
        <w:fldChar w:fldCharType="end"/>
      </w:r>
      <w:r w:rsidR="003967E2" w:rsidRPr="00E53F5D">
        <w:rPr>
          <w:rFonts w:ascii="Calibri" w:hAnsi="Calibri"/>
        </w:rPr>
        <w:t>, and development of new antibiotics has slowed</w:t>
      </w:r>
      <w:r>
        <w:rPr>
          <w:rFonts w:ascii="Calibri" w:hAnsi="Calibri"/>
        </w:rPr>
        <w:t xml:space="preserve"> dramatically in recent decades.</w:t>
      </w:r>
      <w:r w:rsidR="003967E2" w:rsidRPr="00E53F5D">
        <w:rPr>
          <w:rFonts w:ascii="Calibri" w:hAnsi="Calibri"/>
        </w:rPr>
        <w:t xml:space="preserve"> </w:t>
      </w:r>
      <w:r w:rsidRPr="00E53F5D">
        <w:rPr>
          <w:rFonts w:ascii="Calibri" w:hAnsi="Calibri"/>
        </w:rPr>
        <w:t>T</w:t>
      </w:r>
      <w:r w:rsidR="003967E2" w:rsidRPr="00E53F5D">
        <w:rPr>
          <w:rFonts w:ascii="Calibri" w:hAnsi="Calibri"/>
        </w:rPr>
        <w:t>hus</w:t>
      </w:r>
      <w:r>
        <w:rPr>
          <w:rFonts w:ascii="Calibri" w:hAnsi="Calibri"/>
        </w:rPr>
        <w:t>,</w:t>
      </w:r>
      <w:r w:rsidR="003967E2" w:rsidRPr="00E53F5D">
        <w:rPr>
          <w:rFonts w:ascii="Calibri" w:hAnsi="Calibri"/>
        </w:rPr>
        <w:t xml:space="preserve"> it is critical to extend the useful life of the drugs on which we currently rely.  </w:t>
      </w:r>
    </w:p>
    <w:p w14:paraId="144F70C6" w14:textId="77777777" w:rsidR="001D45F1" w:rsidRDefault="001D45F1" w:rsidP="00805DED">
      <w:pPr>
        <w:rPr>
          <w:rFonts w:ascii="Calibri" w:hAnsi="Calibri"/>
        </w:rPr>
      </w:pPr>
    </w:p>
    <w:p w14:paraId="4D478461" w14:textId="60D50EE3" w:rsidR="003967E2" w:rsidRPr="00E53F5D" w:rsidRDefault="001D45F1" w:rsidP="00805DED">
      <w:pPr>
        <w:rPr>
          <w:rFonts w:ascii="Calibri" w:hAnsi="Calibri"/>
        </w:rPr>
      </w:pPr>
      <w:r>
        <w:rPr>
          <w:rFonts w:ascii="Calibri" w:hAnsi="Calibri"/>
        </w:rPr>
        <w:t xml:space="preserve">According to some estimates, antibiotic resistance already accounts for at least </w:t>
      </w:r>
      <w:r w:rsidRPr="00E53F5D">
        <w:rPr>
          <w:rFonts w:ascii="Calibri" w:hAnsi="Calibri"/>
        </w:rPr>
        <w:t>700,000 lives lost per year</w:t>
      </w:r>
      <w:r>
        <w:rPr>
          <w:rFonts w:ascii="Calibri" w:hAnsi="Calibri"/>
        </w:rPr>
        <w:t xml:space="preserve"> globally</w:t>
      </w:r>
      <w:r w:rsidRPr="00E53F5D">
        <w:rPr>
          <w:rFonts w:ascii="Calibri" w:hAnsi="Calibri"/>
        </w:rPr>
        <w:t xml:space="preserve"> </w:t>
      </w:r>
      <w:r w:rsidRPr="00E53F5D">
        <w:rPr>
          <w:rFonts w:ascii="Calibri" w:hAnsi="Calibri"/>
        </w:rPr>
        <w:fldChar w:fldCharType="begin" w:fldLock="1"/>
      </w:r>
      <w:r w:rsidR="006042CD">
        <w:rPr>
          <w:rFonts w:ascii="Calibri" w:hAnsi="Calibri"/>
        </w:rPr>
        <w:instrText>ADDIN CSL_CITATION {"citationItems":[{"id":"ITEM-1","itemData":{"author":[{"dropping-particle":"","family":"O'Neill","given":"J I","non-dropping-particle":"","parse-names":false,"suffix":""}],"id":"ITEM-1","issue":"May","issued":{"date-parts":[["2016"]]},"title":"Tackling drug-resistant infections globally: final report and recommendations. The review on antimicrobial resistance.","type":"article-journal"},"uris":["http://www.mendeley.com/documents/?uuid=8c2f5b9c-a971-47e7-b92e-9ca992e0e8bd","http://www.mendeley.com/documents/?uuid=cb836139-ff64-46f8-98c3-0d959571511c"]},{"id":"ITEM-2","itemData":{"abstract":"Responding to mounting international concern about the rise of drug-resistant infections, the UK Prime Minister, The Rt Hon David Cameron MP, commissioned Jim O’Neill in July 2014 to chair this review on antimicrobial resistance. By the summer of 2016, the Review will recommend a package of actions that we think should be agreed internationally to tackle this growing threat. The Review operates independently of the UK Government and the Wellcome Trust who are co-funding and hosting us at their headquarters in London.","author":[{"dropping-particle":"","family":"O'Neill","given":"J","non-dropping-particle":"","parse-names":false,"suffix":""}],"container-title":"Review on Antimicrobial Resistance","id":"ITEM-2","issue":"December","issued":{"date-parts":[["2014"]]},"page":"1-16","title":"Antimicrobial Resistance : Tackling a crisis for the health and wealth of nations","type":"article-journal"},"uris":["http://www.mendeley.com/documents/?uuid=e44f17a9-56f2-459b-b2f6-31d1b6a2e62b","http://www.mendeley.com/documents/?uuid=4b4214c5-b6e7-45d9-af78-c6b02b8b5d0d"]}],"mendeley":{"formattedCitation":"(J. O’Neill, 2014; J. I. O’Neill, 2016)","plainTextFormattedCitation":"(J. O’Neill, 2014; J. I. O’Neill, 2016)","previouslyFormattedCitation":"[2], [3]"},"properties":{"noteIndex":0},"schema":"https://github.com/citation-style-language/schema/raw/master/csl-citation.json"}</w:instrText>
      </w:r>
      <w:r w:rsidRPr="00E53F5D">
        <w:rPr>
          <w:rFonts w:ascii="Calibri" w:hAnsi="Calibri"/>
        </w:rPr>
        <w:fldChar w:fldCharType="separate"/>
      </w:r>
      <w:r w:rsidR="006042CD" w:rsidRPr="006042CD">
        <w:rPr>
          <w:rFonts w:ascii="Calibri" w:hAnsi="Calibri"/>
          <w:noProof/>
        </w:rPr>
        <w:t>(J. O’Neill, 2014; J. I. O’Neill, 2016)</w:t>
      </w:r>
      <w:r w:rsidRPr="00E53F5D">
        <w:rPr>
          <w:rFonts w:ascii="Calibri" w:hAnsi="Calibri"/>
        </w:rPr>
        <w:fldChar w:fldCharType="end"/>
      </w:r>
      <w:r>
        <w:rPr>
          <w:rFonts w:ascii="Calibri" w:hAnsi="Calibri"/>
        </w:rPr>
        <w:t>, and if levels of</w:t>
      </w:r>
      <w:r w:rsidR="003967E2" w:rsidRPr="00E53F5D">
        <w:rPr>
          <w:rFonts w:ascii="Calibri" w:hAnsi="Calibri"/>
        </w:rPr>
        <w:t xml:space="preserve"> antimicrobial resistance </w:t>
      </w:r>
      <w:r>
        <w:rPr>
          <w:rFonts w:ascii="Calibri" w:hAnsi="Calibri"/>
        </w:rPr>
        <w:t xml:space="preserve">keep rising, there could be up to </w:t>
      </w:r>
      <w:r w:rsidR="003967E2" w:rsidRPr="00E53F5D">
        <w:rPr>
          <w:rFonts w:ascii="Calibri" w:hAnsi="Calibri"/>
        </w:rPr>
        <w:t>10 million deaths per year by 2050</w:t>
      </w:r>
      <w:r>
        <w:rPr>
          <w:rFonts w:ascii="Calibri" w:hAnsi="Calibri"/>
        </w:rPr>
        <w:t xml:space="preserve">. </w:t>
      </w:r>
      <w:r w:rsidR="003967E2" w:rsidRPr="00E53F5D">
        <w:rPr>
          <w:rFonts w:ascii="Calibri" w:hAnsi="Calibri"/>
        </w:rPr>
        <w:t xml:space="preserve"> </w:t>
      </w:r>
      <w:r>
        <w:rPr>
          <w:rFonts w:ascii="Calibri" w:hAnsi="Calibri"/>
        </w:rPr>
        <w:t>R</w:t>
      </w:r>
      <w:r w:rsidR="003967E2" w:rsidRPr="00E53F5D">
        <w:rPr>
          <w:rFonts w:ascii="Calibri" w:hAnsi="Calibri"/>
        </w:rPr>
        <w:t xml:space="preserve">ecent cases of multi- and </w:t>
      </w:r>
      <w:proofErr w:type="spellStart"/>
      <w:r w:rsidR="003967E2" w:rsidRPr="00E53F5D">
        <w:rPr>
          <w:rFonts w:ascii="Calibri" w:hAnsi="Calibri"/>
        </w:rPr>
        <w:t>pandrug</w:t>
      </w:r>
      <w:proofErr w:type="spellEnd"/>
      <w:r w:rsidR="003967E2" w:rsidRPr="00E53F5D">
        <w:rPr>
          <w:rFonts w:ascii="Calibri" w:hAnsi="Calibri"/>
        </w:rPr>
        <w:t xml:space="preserve">-resistant bacteria </w:t>
      </w:r>
      <w:r>
        <w:rPr>
          <w:rFonts w:ascii="Calibri" w:hAnsi="Calibri"/>
        </w:rPr>
        <w:t>are causing concern about our ability to treat</w:t>
      </w:r>
      <w:r w:rsidR="003967E2" w:rsidRPr="00E53F5D">
        <w:rPr>
          <w:rFonts w:ascii="Calibri" w:hAnsi="Calibri"/>
        </w:rPr>
        <w:t xml:space="preserve"> common bacterial infections</w:t>
      </w:r>
      <w:r w:rsidR="00E53F5D" w:rsidRPr="00E53F5D">
        <w:rPr>
          <w:rFonts w:ascii="Calibri" w:hAnsi="Calibri"/>
        </w:rPr>
        <w:t xml:space="preserve"> </w:t>
      </w:r>
      <w:r w:rsidR="003967E2" w:rsidRPr="00E53F5D">
        <w:rPr>
          <w:rFonts w:ascii="Calibri" w:hAnsi="Calibri"/>
        </w:rPr>
        <w:fldChar w:fldCharType="begin" w:fldLock="1"/>
      </w:r>
      <w:r w:rsidR="006042CD">
        <w:rPr>
          <w:rFonts w:ascii="Calibri" w:hAnsi="Calibri"/>
        </w:rPr>
        <w:instrText>ADDIN CSL_CITATION {"citationItems":[{"id":"ITEM-1","itemData":{"DOI":"10.1016/S1473-3099(15)00424-7","ISBN":"doi:10.1016/S1473-3099(15)00424-7","ISSN":"14744457","PMID":"26603172","abstract":"Background: Until now, polymyxin resistance has involved chromosomal mutations but has never been reported via horizontal gene transfer. During a routine surveillance project on antimicrobial resistance in commensal Escherichia coli from food animals in China, a major increase of colistin resistance was observed. When an E coli strain, SHP45, possessing colistin resistance that could be transferred to another strain, was isolated from a pig, we conducted further analysis of possible plasmid-mediated polymyxin resistance. Herein, we report the emergence of the first plasmid-mediated polymyxin resistance mechanism, MCR-1, in Enterobacteriaceae. Methods: The mcr-1 gene in E coli strain SHP45 was identified by whole plasmid sequencing and subcloning. MCR-1 mechanistic studies were done with sequence comparisons, homology modelling, and electrospray ionisation mass spectrometry. The prevalence of mcr-1 was investigated in E coli and Klebsiella pneumoniae strains collected from five provinces between April, 2011, and November, 2014. The ability of MCR-1 to confer polymyxin resistance in vivo was examined in a murine thigh model. Findings: Polymyxin resistance was shown to be singularly due to the plasmid-mediated mcr-1 gene. The plasmid carrying mcr-1 was mobilised to an E coli recipient at a frequency of 10-1 to 10-3 cells per recipient cell by conjugation, and maintained in K pneumoniae and Pseudomonas aeruginosa. In an in-vivo model, production of MCR-1 negated the efficacy of colistin. MCR-1 is a member of the phosphoethanolamine transferase enzyme family, with expression in E coli resulting in the addition of phosphoethanolamine to lipid A. We observed mcr-1 carriage in E coli isolates collected from 78 (15%) of 523 samples of raw meat and 166 (21%) of 804 animals during 2011-14, and 16 (1%) of 1322 samples from inpatients with infection. Interpretation: The emergence of MCR-1 heralds the breach of the last group of antibiotics, polymyxins, by plasmid-mediated resistance. Although currently confined to China, MCR-1 is likely to emulate other global resistance mechanisms such as NDM-1. Our findings emphasise the urgent need for coordinated global action in the fight against pan-drug-resistant Gram-negative bacteria. Funding: Ministry of Science and Technology of China, National Natural Science Foundation of China.","author":[{"dropping-particle":"","family":"Liu","given":"Yi Yun","non-dropping-particle":"","parse-names":false,"suffix":""},{"dropping-particle":"","family":"Wang","given":"Yang","non-dropping-particle":"","parse-names":false,"suffix":""},{"dropping-particle":"","family":"Walsh","given":"Timothy R.","non-dropping-particle":"","parse-names":false,"suffix":""},{"dropping-particle":"","family":"Yi","given":"Ling Xian","non-dropping-particle":"","parse-names":false,"suffix":""},{"dropping-particle":"","family":"Zhang","given":"Rong","non-dropping-particle":"","parse-names":false,"suffix":""},{"dropping-particle":"","family":"Spencer","given":"James","non-dropping-particle":"","parse-names":false,"suffix":""},{"dropping-particle":"","family":"Doi","given":"Yohei","non-dropping-particle":"","parse-names":false,"suffix":""},{"dropping-particle":"","family":"Tian","given":"Guobao","non-dropping-particle":"","parse-names":false,"suffix":""},{"dropping-particle":"","family":"Dong","given":"Baolei","non-dropping-particle":"","parse-names":false,"suffix":""},{"dropping-particle":"","family":"Huang","given":"Xianhui","non-dropping-particle":"","parse-names":false,"suffix":""},{"dropping-particle":"","family":"Yu","given":"Lin Feng","non-dropping-particle":"","parse-names":false,"suffix":""},{"dropping-particle":"","family":"Gu","given":"Danxia","non-dropping-particle":"","parse-names":false,"suffix":""},{"dropping-particle":"","family":"Ren","given":"Hongwei","non-dropping-particle":"","parse-names":false,"suffix":""},{"dropping-particle":"","family":"Chen","given":"Xiaojie","non-dropping-particle":"","parse-names":false,"suffix":""},{"dropping-particle":"","family":"Lv","given":"Luchao","non-dropping-particle":"","parse-names":false,"suffix":""},{"dropping-particle":"","family":"He","given":"Dandan","non-dropping-particle":"","parse-names":false,"suffix":""},{"dropping-particle":"","family":"Zhou","given":"Hongwei","non-dropping-particle":"","parse-names":false,"suffix":""},{"dropping-particle":"","family":"Liang","given":"Zisen","non-dropping-particle":"","parse-names":false,"suffix":""},{"dropping-particle":"","family":"Liu","given":"Jian Hua","non-dropping-particle":"","parse-names":false,"suffix":""},{"dropping-particle":"","family":"Shen","given":"Jianzhong","non-dropping-particle":"","parse-names":false,"suffix":""}],"container-title":"The Lancet Infectious Diseases","id":"ITEM-1","issue":"2","issued":{"date-parts":[["2016"]]},"page":"161-168","publisher":"Elsevier Ltd","title":"Emergence of plasmid-mediated colistin resistance mechanism MCR-1 in animals and human beings in China: A microbiological and molecular biological study","type":"article-journal","volume":"16"},"uris":["http://www.mendeley.com/documents/?uuid=ab19608b-a3fc-49a4-a0d1-aa7894f9d17c","http://www.mendeley.com/documents/?uuid=5814b3d0-edae-4d92-9a96-a1e43835a811","http://www.mendeley.com/documents/?uuid=032dc062-9f09-4d20-975e-50c65d5aae2d"]},{"id":"ITEM-2","itemData":{"DOI":"10.1093/jac/dkv252","ISSN":"1460-2091","PMID":"26283671","author":[{"dropping-particle":"","family":"Olaitan","given":"Abiola Olumuyiwa","non-dropping-particle":"","parse-names":false,"suffix":""},{"dropping-particle":"","family":"Thongmalayvong","given":"Boupha","non-dropping-particle":"","parse-names":false,"suffix":""},{"dropping-particle":"","family":"Akkhavong","given":"Kongsap","non-dropping-particle":"","parse-names":false,"suffix":""},{"dropping-particle":"","family":"Somphavong","given":"Silaphet","non-dropping-particle":"","parse-names":false,"suffix":""},{"dropping-particle":"","family":"Paboriboune","given":"Phimpha","non-dropping-particle":"","parse-names":false,"suffix":""},{"dropping-particle":"","family":"Khounsy","given":"Syseng","non-dropping-particle":"","parse-names":false,"suffix":""},{"dropping-particle":"","family":"Morand","given":"Serge","non-dropping-particle":"","parse-names":false,"suffix":""},{"dropping-particle":"","family":"Rolain","given":"Jean-Marc","non-dropping-particle":"","parse-names":false,"suffix":""}],"container-title":"The Journal of antimicrobial chemotherapy","id":"ITEM-2","issued":{"date-parts":[["2015"]]},"page":"1-2","title":"Clonal transmission of a colistin-resistant Escherichia coli from a domesticated pig to a human in Laos.","type":"article-journal"},"uris":["http://www.mendeley.com/documents/?uuid=95bb006b-7267-4a1a-a649-c32c3090e7eb","http://www.mendeley.com/documents/?uuid=b717a748-537c-4999-932a-7a6ab64a756b","http://www.mendeley.com/documents/?uuid=ee38bb5d-0775-4843-992d-dc4f06f69f37"]}],"mendeley":{"formattedCitation":"(Liu et al., 2016; Olaitan et al., 2015)","plainTextFormattedCitation":"(Liu et al., 2016; Olaitan et al., 2015)","previouslyFormattedCitation":"[4], [5]"},"properties":{"noteIndex":0},"schema":"https://github.com/citation-style-language/schema/raw/master/csl-citation.json"}</w:instrText>
      </w:r>
      <w:r w:rsidR="003967E2" w:rsidRPr="00E53F5D">
        <w:rPr>
          <w:rFonts w:ascii="Calibri" w:hAnsi="Calibri"/>
        </w:rPr>
        <w:fldChar w:fldCharType="separate"/>
      </w:r>
      <w:r w:rsidR="006042CD" w:rsidRPr="006042CD">
        <w:rPr>
          <w:rFonts w:ascii="Calibri" w:hAnsi="Calibri"/>
          <w:noProof/>
        </w:rPr>
        <w:t>(Liu et al., 2016; Olaitan et al., 2015)</w:t>
      </w:r>
      <w:r w:rsidR="003967E2" w:rsidRPr="00E53F5D">
        <w:rPr>
          <w:rFonts w:ascii="Calibri" w:hAnsi="Calibri"/>
        </w:rPr>
        <w:fldChar w:fldCharType="end"/>
      </w:r>
      <w:r w:rsidR="00E53F5D" w:rsidRPr="00E53F5D">
        <w:rPr>
          <w:rFonts w:ascii="Calibri" w:hAnsi="Calibri"/>
        </w:rPr>
        <w:t>.</w:t>
      </w:r>
    </w:p>
    <w:p w14:paraId="6D9F4575" w14:textId="77777777" w:rsidR="005E3236" w:rsidRDefault="005E3236">
      <w:pPr>
        <w:rPr>
          <w:rFonts w:ascii="Calibri" w:hAnsi="Calibri"/>
        </w:rPr>
      </w:pPr>
    </w:p>
    <w:p w14:paraId="0B169369" w14:textId="29C5EACA" w:rsidR="001D45F1" w:rsidRDefault="001D45F1">
      <w:pPr>
        <w:rPr>
          <w:rFonts w:ascii="Calibri" w:hAnsi="Calibri"/>
        </w:rPr>
      </w:pPr>
      <w:r w:rsidRPr="00E53F5D">
        <w:rPr>
          <w:rFonts w:ascii="Calibri" w:hAnsi="Calibri"/>
        </w:rPr>
        <w:lastRenderedPageBreak/>
        <w:t xml:space="preserve">Over time, bacteria “figure out” how to resist antibiotics.  For example, they may be able to encode a gene that can alter the </w:t>
      </w:r>
      <w:proofErr w:type="gramStart"/>
      <w:r w:rsidRPr="00E53F5D">
        <w:rPr>
          <w:rFonts w:ascii="Calibri" w:hAnsi="Calibri"/>
        </w:rPr>
        <w:t>antibiotic</w:t>
      </w:r>
      <w:proofErr w:type="gramEnd"/>
      <w:r w:rsidRPr="00E53F5D">
        <w:rPr>
          <w:rFonts w:ascii="Calibri" w:hAnsi="Calibri"/>
        </w:rPr>
        <w:t xml:space="preserve"> so it doesn’t function anymore, export it out of the cell, or block its entry into the cell.  </w:t>
      </w:r>
    </w:p>
    <w:p w14:paraId="28CD12EA" w14:textId="5E5B5214" w:rsidR="00454000" w:rsidRDefault="00454000">
      <w:pPr>
        <w:rPr>
          <w:rFonts w:ascii="Calibri" w:hAnsi="Calibri"/>
        </w:rPr>
      </w:pPr>
    </w:p>
    <w:p w14:paraId="7068B682" w14:textId="7E3A99BC" w:rsidR="00454000" w:rsidRPr="00454000" w:rsidRDefault="00454000">
      <w:pPr>
        <w:rPr>
          <w:rFonts w:ascii="Calibri" w:hAnsi="Calibri"/>
          <w:b/>
        </w:rPr>
      </w:pPr>
      <w:r>
        <w:rPr>
          <w:rFonts w:ascii="Calibri" w:hAnsi="Calibri"/>
          <w:b/>
        </w:rPr>
        <w:t xml:space="preserve">Section 4. </w:t>
      </w:r>
      <w:r w:rsidRPr="00454000">
        <w:rPr>
          <w:rFonts w:ascii="Calibri" w:hAnsi="Calibri"/>
          <w:b/>
        </w:rPr>
        <w:t>Proliferation of antibiotics in the environment</w:t>
      </w:r>
    </w:p>
    <w:p w14:paraId="7C21D066" w14:textId="77777777" w:rsidR="001D45F1" w:rsidRPr="00E53F5D" w:rsidRDefault="001D45F1">
      <w:pPr>
        <w:rPr>
          <w:rFonts w:ascii="Calibri" w:hAnsi="Calibri"/>
        </w:rPr>
      </w:pPr>
    </w:p>
    <w:p w14:paraId="123898E3" w14:textId="7F72CE9F" w:rsidR="005E3236" w:rsidRPr="00E53F5D" w:rsidRDefault="005E3236">
      <w:pPr>
        <w:rPr>
          <w:rFonts w:ascii="Calibri" w:hAnsi="Calibri"/>
        </w:rPr>
      </w:pPr>
      <w:r w:rsidRPr="00E53F5D">
        <w:rPr>
          <w:rFonts w:ascii="Calibri" w:hAnsi="Calibri"/>
        </w:rPr>
        <w:t xml:space="preserve">The ability to resist an antibiotic can start out only in a particular bacterial cell, but the resistance </w:t>
      </w:r>
      <w:r w:rsidR="00981E44" w:rsidRPr="00E53F5D">
        <w:rPr>
          <w:rFonts w:ascii="Calibri" w:hAnsi="Calibri"/>
        </w:rPr>
        <w:t>can then proliferate because that cell has a survival advantage in the presence of the antibiotic.  For example, in the picture below, only the purple cell on the left is able to resist the antibiotic.  Once the drug is applied, all of the yellow cells are killed, leaving just the purple one to reproduce.</w:t>
      </w:r>
      <w:r w:rsidR="00C67AA1" w:rsidRPr="00E53F5D">
        <w:rPr>
          <w:rFonts w:ascii="Calibri" w:hAnsi="Calibri"/>
        </w:rPr>
        <w:t xml:space="preserve">  The panel on the right shows the population after the purple cell has reproduced.  The ability to resist the antibiotic, encoded by an antibiotic resistance gene (ARG), has been passed on by what is called vertical gene transfer, because the transfer happens between generations.</w:t>
      </w:r>
    </w:p>
    <w:p w14:paraId="77AF24C6" w14:textId="77777777" w:rsidR="00C67AA1" w:rsidRDefault="00C67AA1"/>
    <w:p w14:paraId="1522AF33" w14:textId="77777777" w:rsidR="00C67AA1" w:rsidRDefault="00C67AA1"/>
    <w:p w14:paraId="4BCDCAE4" w14:textId="77777777" w:rsidR="00981E44" w:rsidRDefault="00981E44"/>
    <w:p w14:paraId="30ED6FCF" w14:textId="108606A9" w:rsidR="00981E44" w:rsidRDefault="00981E44" w:rsidP="00061178">
      <w:pPr>
        <w:jc w:val="center"/>
      </w:pPr>
      <w:r w:rsidRPr="00981E44">
        <w:rPr>
          <w:noProof/>
        </w:rPr>
        <w:drawing>
          <wp:inline distT="0" distB="0" distL="0" distR="0" wp14:anchorId="00BA365F" wp14:editId="56C11C09">
            <wp:extent cx="2814295" cy="2113728"/>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822717" cy="2120053"/>
                    </a:xfrm>
                    <a:prstGeom prst="rect">
                      <a:avLst/>
                    </a:prstGeom>
                  </pic:spPr>
                </pic:pic>
              </a:graphicData>
            </a:graphic>
          </wp:inline>
        </w:drawing>
      </w:r>
    </w:p>
    <w:p w14:paraId="1FE73004" w14:textId="77777777" w:rsidR="00981E44" w:rsidRDefault="00981E44"/>
    <w:p w14:paraId="5F87129D" w14:textId="77777777" w:rsidR="00074800" w:rsidRDefault="00074800"/>
    <w:p w14:paraId="5BE1EFBE" w14:textId="49520FA4" w:rsidR="00074800" w:rsidRDefault="00C67AA1">
      <w:r>
        <w:t>In addition to being passed by vertical gene transfer, ARGs</w:t>
      </w:r>
      <w:r w:rsidR="00074800">
        <w:t xml:space="preserve"> can be passed from cell to cell </w:t>
      </w:r>
      <w:r>
        <w:t xml:space="preserve">by horizontal gene transfer (HGT.  This can occur </w:t>
      </w:r>
      <w:r w:rsidR="00074800">
        <w:t>in various ways:  1) the cells may actually come into contact with each other and genetic material can travel from one to the other</w:t>
      </w:r>
      <w:r w:rsidR="00250043">
        <w:t xml:space="preserve"> (conjugation)</w:t>
      </w:r>
      <w:r w:rsidR="00074800">
        <w:t>, 2) free DNA in the environment that came from one cell at some point can be taken up by a new cell</w:t>
      </w:r>
      <w:r w:rsidR="00250043">
        <w:t xml:space="preserve"> (transformation)</w:t>
      </w:r>
      <w:r w:rsidR="00074800">
        <w:t>, and 3) viruses can “package up” bits of DNA and play a role in transferring that</w:t>
      </w:r>
      <w:r w:rsidR="00250043">
        <w:t xml:space="preserve"> DNA between cells (transduction).</w:t>
      </w:r>
    </w:p>
    <w:p w14:paraId="05B73CA5" w14:textId="77777777" w:rsidR="00074800" w:rsidRDefault="00074800"/>
    <w:p w14:paraId="43CE19CE" w14:textId="3A917573" w:rsidR="00250043" w:rsidRDefault="00FC3CF9" w:rsidP="00061178">
      <w:pPr>
        <w:jc w:val="center"/>
      </w:pPr>
      <w:r w:rsidRPr="00FC3CF9">
        <w:rPr>
          <w:noProof/>
        </w:rPr>
        <w:lastRenderedPageBreak/>
        <w:drawing>
          <wp:inline distT="0" distB="0" distL="0" distR="0" wp14:anchorId="795399FC" wp14:editId="7A8B8175">
            <wp:extent cx="2321859" cy="2631440"/>
            <wp:effectExtent l="0" t="0" r="0" b="10160"/>
            <wp:docPr id="8" name="Picture 4" descr="orizontal gen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orizontal gene transf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642" cy="2634594"/>
                    </a:xfrm>
                    <a:prstGeom prst="rect">
                      <a:avLst/>
                    </a:prstGeom>
                    <a:noFill/>
                    <a:extLst/>
                  </pic:spPr>
                </pic:pic>
              </a:graphicData>
            </a:graphic>
          </wp:inline>
        </w:drawing>
      </w:r>
    </w:p>
    <w:p w14:paraId="54C0D6E4" w14:textId="77777777" w:rsidR="00250043" w:rsidRDefault="00250043"/>
    <w:p w14:paraId="619E39A4" w14:textId="16D60181" w:rsidR="00074800" w:rsidRDefault="00074800">
      <w:r>
        <w:t xml:space="preserve">The level of antibiotic resistance observed in bacteria </w:t>
      </w:r>
      <w:r w:rsidR="00C67AA1">
        <w:t xml:space="preserve">worldwide </w:t>
      </w:r>
      <w:r w:rsidR="00E53F5D">
        <w:t>is rising.  This is a problem</w:t>
      </w:r>
      <w:r>
        <w:t xml:space="preserve">, because we need our current arsenal of antibiotics to work against disease-causing organisms, called pathogens. </w:t>
      </w:r>
    </w:p>
    <w:p w14:paraId="0E162F29" w14:textId="77777777" w:rsidR="00074800" w:rsidRDefault="00074800"/>
    <w:p w14:paraId="5518001F" w14:textId="2240679A" w:rsidR="00805DED" w:rsidRDefault="00074800" w:rsidP="00805DED">
      <w:r>
        <w:t xml:space="preserve">In fact, </w:t>
      </w:r>
      <w:r w:rsidR="005E3236">
        <w:t xml:space="preserve">the CDC and the World Health Organization are </w:t>
      </w:r>
      <w:r w:rsidR="00C67AA1">
        <w:t>extremely</w:t>
      </w:r>
      <w:r w:rsidR="005E3236">
        <w:t xml:space="preserve"> concerned about the level of proliferation of ARGs we are seeing.</w:t>
      </w:r>
      <w:r w:rsidR="00805DED">
        <w:t xml:space="preserve">  </w:t>
      </w:r>
      <w:r w:rsidR="00805DED" w:rsidRPr="00805DED">
        <w:t>According to the World Health Organization, antibiotic resistance “</w:t>
      </w:r>
      <w:r w:rsidR="00805DED" w:rsidRPr="00805DED">
        <w:rPr>
          <w:i/>
          <w:iCs/>
        </w:rPr>
        <w:t>threatens the achievements of modern medicine</w:t>
      </w:r>
      <w:r w:rsidR="00FE7AF5">
        <w:t>.”</w:t>
      </w:r>
    </w:p>
    <w:p w14:paraId="2C3A4FA2" w14:textId="12BEA818" w:rsidR="00FE7AF5" w:rsidRDefault="00FE7AF5" w:rsidP="00805DED"/>
    <w:p w14:paraId="37435206" w14:textId="2A78A53B" w:rsidR="00454000" w:rsidRPr="00454000" w:rsidRDefault="00454000" w:rsidP="00805DED">
      <w:pPr>
        <w:rPr>
          <w:b/>
        </w:rPr>
      </w:pPr>
      <w:r w:rsidRPr="00454000">
        <w:rPr>
          <w:b/>
        </w:rPr>
        <w:t>Section 5. Current Uses of Antibiotics</w:t>
      </w:r>
    </w:p>
    <w:p w14:paraId="3C2E934E" w14:textId="77777777" w:rsidR="00454000" w:rsidRDefault="00454000" w:rsidP="00805DED"/>
    <w:p w14:paraId="540DBA37" w14:textId="669567D8" w:rsidR="00FE7AF5" w:rsidRDefault="00FE7AF5" w:rsidP="00805DED">
      <w:r>
        <w:t xml:space="preserve">Because use of antibiotics leads to eventual resistance, it is important to know how and why we use antibiotics. </w:t>
      </w:r>
      <w:r w:rsidR="007B27E9">
        <w:t xml:space="preserve">According to the Johns Hopkins Center for a Livable Future, approximately </w:t>
      </w:r>
      <w:r>
        <w:t xml:space="preserve">3.3 million kg are used per year in human medicine.  Use in humans is typically regulated by a </w:t>
      </w:r>
      <w:proofErr w:type="gramStart"/>
      <w:r>
        <w:t>doctor, and</w:t>
      </w:r>
      <w:proofErr w:type="gramEnd"/>
      <w:r>
        <w:t xml:space="preserve"> is prescribed to treat infections at “therapeutic doses,” which are designed to not result in proliferation of resistance.  However, 13 million kg are used in animals, and the purpose here is to promote growth as well as treat infections. Thus, much of these drugs are given at “subther</w:t>
      </w:r>
      <w:r w:rsidR="00081B42">
        <w:t>a</w:t>
      </w:r>
      <w:r>
        <w:t>peutic doses,” which can give an advantage to bacteria containing resistance genes.  The presence of low amounts of antibiotic results in a “selective pressure,” meaning it will select for (or give an advantage to) bacteria that are able to resist the antibiotic.</w:t>
      </w:r>
    </w:p>
    <w:p w14:paraId="2C925004" w14:textId="77777777" w:rsidR="00FE7AF5" w:rsidRDefault="00FE7AF5" w:rsidP="00805DED"/>
    <w:p w14:paraId="218216FC" w14:textId="3C0DBDE1" w:rsidR="00FE7AF5" w:rsidRDefault="00FE7AF5" w:rsidP="00061178">
      <w:pPr>
        <w:jc w:val="center"/>
      </w:pPr>
      <w:r w:rsidRPr="00FE7AF5">
        <w:rPr>
          <w:noProof/>
        </w:rPr>
        <w:lastRenderedPageBreak/>
        <w:drawing>
          <wp:inline distT="0" distB="0" distL="0" distR="0" wp14:anchorId="763A2FC9" wp14:editId="6BE5E14D">
            <wp:extent cx="2794635" cy="2109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2805602" cy="2117989"/>
                    </a:xfrm>
                    <a:prstGeom prst="rect">
                      <a:avLst/>
                    </a:prstGeom>
                  </pic:spPr>
                </pic:pic>
              </a:graphicData>
            </a:graphic>
          </wp:inline>
        </w:drawing>
      </w:r>
    </w:p>
    <w:p w14:paraId="16B8749D" w14:textId="77777777" w:rsidR="00FE7AF5" w:rsidRPr="00805DED" w:rsidRDefault="00FE7AF5" w:rsidP="00805DED"/>
    <w:p w14:paraId="4FEB0883" w14:textId="77777777" w:rsidR="00805DED" w:rsidRPr="00F37E11" w:rsidRDefault="00805DED">
      <w:pPr>
        <w:rPr>
          <w:i/>
        </w:rPr>
      </w:pPr>
    </w:p>
    <w:p w14:paraId="5E59A547" w14:textId="77777777" w:rsidR="00906434" w:rsidRDefault="00906434" w:rsidP="00906434"/>
    <w:p w14:paraId="30268E1A" w14:textId="77158F77" w:rsidR="00906434" w:rsidRPr="00BB293C" w:rsidRDefault="00906434" w:rsidP="00906434">
      <w:pPr>
        <w:rPr>
          <w:b/>
        </w:rPr>
      </w:pPr>
      <w:r w:rsidRPr="00BB293C">
        <w:rPr>
          <w:b/>
        </w:rPr>
        <w:t xml:space="preserve">Section </w:t>
      </w:r>
      <w:r>
        <w:rPr>
          <w:b/>
        </w:rPr>
        <w:t>6</w:t>
      </w:r>
      <w:r w:rsidRPr="00BB293C">
        <w:rPr>
          <w:b/>
        </w:rPr>
        <w:t>. Trends in medical antibiotic use.</w:t>
      </w:r>
    </w:p>
    <w:p w14:paraId="52265835" w14:textId="77777777" w:rsidR="00906434" w:rsidRDefault="00906434" w:rsidP="00906434"/>
    <w:p w14:paraId="2412BE26" w14:textId="77777777" w:rsidR="00906434" w:rsidRPr="00FF39DE" w:rsidRDefault="00906434" w:rsidP="00906434">
      <w:pPr>
        <w:numPr>
          <w:ilvl w:val="0"/>
          <w:numId w:val="1"/>
        </w:numPr>
      </w:pPr>
      <w:r w:rsidRPr="00FF39DE">
        <w:t>Medical antibiotic use (MAU) increased 36% from 2000-2010</w:t>
      </w:r>
    </w:p>
    <w:p w14:paraId="7E1589EC" w14:textId="77777777" w:rsidR="00906434" w:rsidRPr="00FF39DE" w:rsidRDefault="00906434" w:rsidP="00906434">
      <w:pPr>
        <w:numPr>
          <w:ilvl w:val="0"/>
          <w:numId w:val="1"/>
        </w:numPr>
      </w:pPr>
      <w:r w:rsidRPr="00FF39DE">
        <w:t>Carbapenems, a last-resort class</w:t>
      </w:r>
      <w:r>
        <w:t xml:space="preserve"> (meaning doctors try to hold back on use of these drugs so that they are only used when really needed)</w:t>
      </w:r>
      <w:r w:rsidRPr="00FF39DE">
        <w:t>, increased 45%</w:t>
      </w:r>
    </w:p>
    <w:p w14:paraId="1B5925F0" w14:textId="77777777" w:rsidR="00906434" w:rsidRPr="00FF39DE" w:rsidRDefault="00906434" w:rsidP="00906434">
      <w:pPr>
        <w:numPr>
          <w:ilvl w:val="0"/>
          <w:numId w:val="1"/>
        </w:numPr>
      </w:pPr>
      <w:r w:rsidRPr="00FF39DE">
        <w:t>Most increase occurred in countries with little regulation</w:t>
      </w:r>
      <w:r>
        <w:t>.  In areas of the world where infrastructure providing clean water may be lacking, antibiotics may be available over the counter.</w:t>
      </w:r>
    </w:p>
    <w:p w14:paraId="46111DC3" w14:textId="77777777" w:rsidR="00906434" w:rsidRDefault="00906434" w:rsidP="00906434"/>
    <w:p w14:paraId="19AF96D0" w14:textId="77777777" w:rsidR="00906434" w:rsidRDefault="00906434" w:rsidP="00906434">
      <w:r>
        <w:t>Animal antibiotic use</w:t>
      </w:r>
    </w:p>
    <w:p w14:paraId="00395C4B" w14:textId="77777777" w:rsidR="00906434" w:rsidRDefault="00906434" w:rsidP="00906434"/>
    <w:p w14:paraId="33965B99" w14:textId="77777777" w:rsidR="00906434" w:rsidRPr="00FF39DE" w:rsidRDefault="00906434" w:rsidP="00906434">
      <w:pPr>
        <w:numPr>
          <w:ilvl w:val="0"/>
          <w:numId w:val="2"/>
        </w:numPr>
      </w:pPr>
      <w:r w:rsidRPr="00FF39DE">
        <w:t xml:space="preserve">Agricultural antibiotic use (AAU) has also dramatically increased </w:t>
      </w:r>
    </w:p>
    <w:p w14:paraId="2A44D8D2" w14:textId="77777777" w:rsidR="00906434" w:rsidRPr="00FF39DE" w:rsidRDefault="00906434" w:rsidP="00906434">
      <w:pPr>
        <w:numPr>
          <w:ilvl w:val="0"/>
          <w:numId w:val="2"/>
        </w:numPr>
      </w:pPr>
      <w:r w:rsidRPr="00FF39DE">
        <w:t>Selective pressure occurs in livestock</w:t>
      </w:r>
    </w:p>
    <w:p w14:paraId="2E3EC928" w14:textId="77777777" w:rsidR="00906434" w:rsidRPr="00FF39DE" w:rsidRDefault="00906434" w:rsidP="00906434">
      <w:pPr>
        <w:numPr>
          <w:ilvl w:val="0"/>
          <w:numId w:val="2"/>
        </w:numPr>
      </w:pPr>
      <w:r w:rsidRPr="00FF39DE">
        <w:t>&gt; 90% of manure disposed by land application</w:t>
      </w:r>
    </w:p>
    <w:p w14:paraId="39B7C758" w14:textId="77777777" w:rsidR="00906434" w:rsidRDefault="00906434" w:rsidP="00906434"/>
    <w:p w14:paraId="43DF72FD" w14:textId="7EAFB605" w:rsidR="00906434" w:rsidRPr="00906434" w:rsidRDefault="00906434">
      <w:r>
        <w:t xml:space="preserve">There are two categories of antibiotics used in animal agriculture: ionophore and </w:t>
      </w:r>
      <w:proofErr w:type="spellStart"/>
      <w:r>
        <w:t>nonionophore</w:t>
      </w:r>
      <w:proofErr w:type="spellEnd"/>
      <w:r>
        <w:t xml:space="preserve">.  Ionophores are primarily used to increase feed efficiency and are not used in human medicine at this time.  They work by transporting cations and other small molecules across biological membranes, which disrupts the import cation gradient that typically exists across the membrane.  This stops growth of bacteria and fungi and can kill the cells.  </w:t>
      </w:r>
      <w:proofErr w:type="spellStart"/>
      <w:r>
        <w:t>Nonionophores</w:t>
      </w:r>
      <w:proofErr w:type="spellEnd"/>
      <w:r>
        <w:t xml:space="preserve"> used in agriculture are also frequently used to increase feed efficiency by a number of different mechanisms and are often the exact same drugs used in human medicine.  Some growth promoters work by changing the gut microbiome in the animal.  Suppressing the typical non-pathogenic bacteria can lead to a more absorptive intestinal lining and greater weight gains.  Also, infection due to intense confinement may be minimized through </w:t>
      </w:r>
      <w:proofErr w:type="spellStart"/>
      <w:r>
        <w:t>nonionophore</w:t>
      </w:r>
      <w:proofErr w:type="spellEnd"/>
      <w:r>
        <w:t xml:space="preserve"> use.</w:t>
      </w:r>
    </w:p>
    <w:p w14:paraId="0829CCEF" w14:textId="77777777" w:rsidR="00906434" w:rsidRDefault="00906434">
      <w:pPr>
        <w:rPr>
          <w:b/>
        </w:rPr>
      </w:pPr>
    </w:p>
    <w:p w14:paraId="1A29D349" w14:textId="0BECC6E2" w:rsidR="00BB293C" w:rsidRPr="00BB293C" w:rsidRDefault="00BB293C">
      <w:pPr>
        <w:rPr>
          <w:b/>
        </w:rPr>
      </w:pPr>
      <w:r w:rsidRPr="00BB293C">
        <w:rPr>
          <w:b/>
        </w:rPr>
        <w:t xml:space="preserve">Section </w:t>
      </w:r>
      <w:r w:rsidR="00906434">
        <w:rPr>
          <w:b/>
        </w:rPr>
        <w:t>7</w:t>
      </w:r>
      <w:r w:rsidRPr="00BB293C">
        <w:rPr>
          <w:b/>
        </w:rPr>
        <w:t xml:space="preserve">.  </w:t>
      </w:r>
      <w:r w:rsidR="00BD3AED" w:rsidRPr="00BB293C">
        <w:rPr>
          <w:b/>
        </w:rPr>
        <w:t>Development of new ant</w:t>
      </w:r>
      <w:r w:rsidR="00F37E11" w:rsidRPr="00BB293C">
        <w:rPr>
          <w:b/>
        </w:rPr>
        <w:t>i</w:t>
      </w:r>
      <w:r w:rsidR="00BD3AED" w:rsidRPr="00BB293C">
        <w:rPr>
          <w:b/>
        </w:rPr>
        <w:t>biotics</w:t>
      </w:r>
      <w:r w:rsidR="00F37E11" w:rsidRPr="00BB293C">
        <w:rPr>
          <w:b/>
        </w:rPr>
        <w:t xml:space="preserve">.  </w:t>
      </w:r>
    </w:p>
    <w:p w14:paraId="5FB54417" w14:textId="77777777" w:rsidR="00BB293C" w:rsidRDefault="00BB293C">
      <w:pPr>
        <w:rPr>
          <w:i/>
        </w:rPr>
      </w:pPr>
    </w:p>
    <w:p w14:paraId="741AF855" w14:textId="2C98099B" w:rsidR="00BD3AED" w:rsidRPr="00F37E11" w:rsidRDefault="00F37E11">
      <w:pPr>
        <w:rPr>
          <w:i/>
        </w:rPr>
      </w:pPr>
      <w:r>
        <w:lastRenderedPageBreak/>
        <w:t>While it would be nice to think that we can easily keep u</w:t>
      </w:r>
      <w:r w:rsidR="00407062">
        <w:t>p</w:t>
      </w:r>
      <w:r>
        <w:t xml:space="preserve"> with antibiotic resistance by coming up with new drugs, the evidence shows that this cannot be relied on.</w:t>
      </w:r>
    </w:p>
    <w:p w14:paraId="66787FB8" w14:textId="77777777" w:rsidR="00F37E11" w:rsidRDefault="00F37E11"/>
    <w:p w14:paraId="26F77ED2" w14:textId="392ABFA2" w:rsidR="00F37E11" w:rsidRDefault="00F37E11" w:rsidP="00061178">
      <w:pPr>
        <w:jc w:val="center"/>
      </w:pPr>
      <w:r w:rsidRPr="00F37E11">
        <w:rPr>
          <w:noProof/>
        </w:rPr>
        <w:drawing>
          <wp:inline distT="0" distB="0" distL="0" distR="0" wp14:anchorId="38067322" wp14:editId="6953AFB0">
            <wp:extent cx="4459638" cy="2557145"/>
            <wp:effectExtent l="0" t="0" r="10795" b="8255"/>
            <wp:docPr id="3" name="Picture 1" descr="ExThe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TheCure.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9334" cy="2562705"/>
                    </a:xfrm>
                    <a:prstGeom prst="rect">
                      <a:avLst/>
                    </a:prstGeom>
                  </pic:spPr>
                </pic:pic>
              </a:graphicData>
            </a:graphic>
          </wp:inline>
        </w:drawing>
      </w:r>
    </w:p>
    <w:p w14:paraId="7FC913B4" w14:textId="77777777" w:rsidR="00F37E11" w:rsidRDefault="00F37E11"/>
    <w:p w14:paraId="6D0137D0" w14:textId="474A6500" w:rsidR="00F37E11" w:rsidRDefault="00F37E11">
      <w:r>
        <w:t>This graph shows that since 1980, the number of new antibiotics developed has steadily declined.  The reasons for this may be a mix of economic (it is very expensive to develop new drugs) and scientific (there are only a certain number of ways to kill an organism) factors.</w:t>
      </w:r>
    </w:p>
    <w:p w14:paraId="1CB9172A" w14:textId="44518E9A" w:rsidR="00926FF5" w:rsidRDefault="00926FF5" w:rsidP="00C72985">
      <w:pPr>
        <w:tabs>
          <w:tab w:val="left" w:pos="2423"/>
        </w:tabs>
      </w:pPr>
      <w:r>
        <w:t xml:space="preserve">   </w:t>
      </w:r>
      <w:r w:rsidR="00C72985">
        <w:tab/>
      </w:r>
    </w:p>
    <w:p w14:paraId="65829E97" w14:textId="64F3B3E7" w:rsidR="00BB293C" w:rsidRPr="00BB293C" w:rsidRDefault="00BB293C" w:rsidP="00C72985">
      <w:pPr>
        <w:tabs>
          <w:tab w:val="left" w:pos="2423"/>
        </w:tabs>
      </w:pPr>
      <w:r w:rsidRPr="00BB293C">
        <w:rPr>
          <w:b/>
        </w:rPr>
        <w:t xml:space="preserve">Section 8. </w:t>
      </w:r>
      <w:r w:rsidR="00C72985" w:rsidRPr="00BB293C">
        <w:rPr>
          <w:b/>
        </w:rPr>
        <w:t xml:space="preserve">Impacts of agricultural </w:t>
      </w:r>
      <w:r>
        <w:rPr>
          <w:b/>
        </w:rPr>
        <w:t>antibiotics use on human health</w:t>
      </w:r>
      <w:r w:rsidR="00C72985" w:rsidRPr="00BB293C">
        <w:t xml:space="preserve"> </w:t>
      </w:r>
    </w:p>
    <w:p w14:paraId="45D36644" w14:textId="77777777" w:rsidR="00BB293C" w:rsidRDefault="00BB293C" w:rsidP="00C72985">
      <w:pPr>
        <w:tabs>
          <w:tab w:val="left" w:pos="2423"/>
        </w:tabs>
      </w:pPr>
    </w:p>
    <w:p w14:paraId="4DFC098D" w14:textId="56563F9E" w:rsidR="00C27BAB" w:rsidRDefault="00C72985" w:rsidP="00C72985">
      <w:pPr>
        <w:tabs>
          <w:tab w:val="left" w:pos="2423"/>
        </w:tabs>
      </w:pPr>
      <w:r>
        <w:t>Antibiotics used for human medicine are sorted into classes by their chemical similarity and mode of action.  Importantly, most classes have one or more drugs that are approved for use in animals.  Resistance mechanisms can be sorted into groups of intrinsic and acquired; the proliferation of the latter is more of a concern for human health.  Acquired resistance mechanisms can be further broken down into four types of modes of actions: prevention of access for the antibiotic to the target, modification of the target, protection of the target from the drug, and modification of the drug.  Prevention of access to the target can be attained</w:t>
      </w:r>
      <w:r w:rsidR="00C95879">
        <w:t xml:space="preserve"> </w:t>
      </w:r>
      <w:r w:rsidR="00C27BAB">
        <w:t>through both reducing permeability for the drug into the cell and increasing efflux of the drug out of the cell.  Because membrane channels and efflux pumps can be effective across classes of antibiotics, these mechanisms can lead to multi-drug resistance.</w:t>
      </w:r>
    </w:p>
    <w:p w14:paraId="4ADE5ED7" w14:textId="4FE93E2A" w:rsidR="00655FD6" w:rsidRDefault="00655FD6" w:rsidP="00C72985">
      <w:pPr>
        <w:tabs>
          <w:tab w:val="left" w:pos="2423"/>
        </w:tabs>
      </w:pPr>
    </w:p>
    <w:p w14:paraId="4202A5DA" w14:textId="0D347384" w:rsidR="00655FD6" w:rsidRDefault="00655FD6" w:rsidP="00C72985">
      <w:pPr>
        <w:tabs>
          <w:tab w:val="left" w:pos="2423"/>
        </w:tabs>
      </w:pPr>
      <w:r>
        <w:t>Animal to human transfer of antibiotic resistant pathogens and antibiotic resistance genes can occur via:</w:t>
      </w:r>
    </w:p>
    <w:p w14:paraId="30405384" w14:textId="77777777" w:rsidR="00906434" w:rsidRDefault="00906434" w:rsidP="00C72985">
      <w:pPr>
        <w:tabs>
          <w:tab w:val="left" w:pos="2423"/>
        </w:tabs>
      </w:pPr>
    </w:p>
    <w:p w14:paraId="42D6F8CC" w14:textId="5D6413FE" w:rsidR="00655FD6" w:rsidRDefault="00655FD6" w:rsidP="00C72985">
      <w:pPr>
        <w:tabs>
          <w:tab w:val="left" w:pos="2423"/>
        </w:tabs>
      </w:pPr>
      <w:r w:rsidRPr="00D9668C">
        <w:rPr>
          <w:b/>
        </w:rPr>
        <w:t>Direct transmission</w:t>
      </w:r>
      <w:r>
        <w:t xml:space="preserve">.  Antibiotic resistant bacteria associated with animals can be transferred directly to animal handlers and slaughterhouse workers.  There are documented cases of this type of transfer vancomycin-resistant enterococci from hens to poultry farmers in the Netherlands </w:t>
      </w:r>
      <w:r w:rsidR="00D9668C">
        <w:t xml:space="preserve">(Andersson and Hughes, 2011), </w:t>
      </w:r>
      <w:r>
        <w:t xml:space="preserve">of fluoroquinolone-resistant </w:t>
      </w:r>
      <w:r w:rsidRPr="00D9668C">
        <w:rPr>
          <w:i/>
        </w:rPr>
        <w:t>Escherichia coli</w:t>
      </w:r>
      <w:r>
        <w:t xml:space="preserve"> </w:t>
      </w:r>
      <w:r w:rsidR="00D9668C">
        <w:t xml:space="preserve">to poultry farmers (van den </w:t>
      </w:r>
      <w:proofErr w:type="spellStart"/>
      <w:r w:rsidR="00D9668C">
        <w:t>Bogaard</w:t>
      </w:r>
      <w:proofErr w:type="spellEnd"/>
      <w:r w:rsidR="00D9668C">
        <w:t xml:space="preserve"> et al. 2001), and of MRSA transmission to pig farmers (Voss et al. 2005).</w:t>
      </w:r>
    </w:p>
    <w:p w14:paraId="635FD65B" w14:textId="0F6F7317" w:rsidR="00D9668C" w:rsidRDefault="00D9668C" w:rsidP="00C72985">
      <w:pPr>
        <w:tabs>
          <w:tab w:val="left" w:pos="2423"/>
        </w:tabs>
      </w:pPr>
      <w:r w:rsidRPr="00D9668C">
        <w:rPr>
          <w:b/>
        </w:rPr>
        <w:lastRenderedPageBreak/>
        <w:t>Environmental contamination.</w:t>
      </w:r>
      <w:r>
        <w:t xml:space="preserve">  Antibiotic resistant bacteria may travel off farms into the surrounding environment, where it can subsequently impact human health.  For example. proximity to manured fields and livestock has been associated with increased infection with MRSA.</w:t>
      </w:r>
    </w:p>
    <w:p w14:paraId="6BF84082" w14:textId="585532F1" w:rsidR="00D9668C" w:rsidRDefault="00D9668C" w:rsidP="00C72985">
      <w:pPr>
        <w:tabs>
          <w:tab w:val="left" w:pos="2423"/>
        </w:tabs>
      </w:pPr>
      <w:r w:rsidRPr="00D9668C">
        <w:rPr>
          <w:b/>
        </w:rPr>
        <w:t>Commercial food supply</w:t>
      </w:r>
      <w:r>
        <w:t xml:space="preserve">.  Foodborne pathogens such as </w:t>
      </w:r>
      <w:r w:rsidRPr="00D9668C">
        <w:rPr>
          <w:i/>
        </w:rPr>
        <w:t>Salmonella</w:t>
      </w:r>
      <w:r>
        <w:t xml:space="preserve"> that acquire antibiotic resistance can pose great threats to people.</w:t>
      </w:r>
    </w:p>
    <w:p w14:paraId="58CBA282" w14:textId="57B821F8" w:rsidR="00C72985" w:rsidRDefault="00C72985" w:rsidP="00C72985">
      <w:pPr>
        <w:tabs>
          <w:tab w:val="left" w:pos="2423"/>
        </w:tabs>
      </w:pPr>
      <w:r>
        <w:t xml:space="preserve"> </w:t>
      </w:r>
    </w:p>
    <w:p w14:paraId="410DB6DB" w14:textId="6D6C359E" w:rsidR="00FF39DE" w:rsidRPr="00FF39DE" w:rsidRDefault="00926FF5" w:rsidP="00FF39DE">
      <w:r>
        <w:t>The gr</w:t>
      </w:r>
      <w:r w:rsidR="00FF39DE">
        <w:t xml:space="preserve">aph below (from </w:t>
      </w:r>
      <w:proofErr w:type="spellStart"/>
      <w:r w:rsidR="00FF39DE" w:rsidRPr="00FF39DE">
        <w:t>Silbergeld</w:t>
      </w:r>
      <w:proofErr w:type="spellEnd"/>
      <w:r w:rsidR="00FF39DE" w:rsidRPr="00FF39DE">
        <w:t>, 20</w:t>
      </w:r>
      <w:r w:rsidR="009C3A82">
        <w:t>08</w:t>
      </w:r>
      <w:r w:rsidR="00FF39DE">
        <w:t xml:space="preserve">) shows that as fluoroquinolones were licensed for use in poultry and livestock, the percentage of clinical isolates of the pathogen </w:t>
      </w:r>
      <w:r w:rsidR="00FF39DE" w:rsidRPr="00FF39DE">
        <w:rPr>
          <w:i/>
        </w:rPr>
        <w:t xml:space="preserve">Campylobacter </w:t>
      </w:r>
      <w:proofErr w:type="spellStart"/>
      <w:r w:rsidR="00FF39DE" w:rsidRPr="00FF39DE">
        <w:rPr>
          <w:i/>
        </w:rPr>
        <w:t>jejuni</w:t>
      </w:r>
      <w:proofErr w:type="spellEnd"/>
      <w:r w:rsidR="00FF39DE">
        <w:t xml:space="preserve"> that were resistant to these drugs increased.</w:t>
      </w:r>
    </w:p>
    <w:p w14:paraId="5346727B" w14:textId="77777777" w:rsidR="00FF39DE" w:rsidRDefault="00FF39DE"/>
    <w:p w14:paraId="5D389263" w14:textId="77777777" w:rsidR="00FF39DE" w:rsidRDefault="00FF39DE"/>
    <w:p w14:paraId="5E54C232" w14:textId="7EB67C0F" w:rsidR="00FF39DE" w:rsidRDefault="00FF39DE">
      <w:r w:rsidRPr="00FF39DE">
        <w:rPr>
          <w:noProof/>
        </w:rPr>
        <w:drawing>
          <wp:inline distT="0" distB="0" distL="0" distR="0" wp14:anchorId="39C23B3E" wp14:editId="38C75CF8">
            <wp:extent cx="4166235" cy="308328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2"/>
                    <a:srcRect/>
                    <a:stretch>
                      <a:fillRect/>
                    </a:stretch>
                  </pic:blipFill>
                  <pic:spPr bwMode="auto">
                    <a:xfrm>
                      <a:off x="0" y="0"/>
                      <a:ext cx="4174910" cy="3089701"/>
                    </a:xfrm>
                    <a:prstGeom prst="rect">
                      <a:avLst/>
                    </a:prstGeom>
                    <a:noFill/>
                    <a:ln w="9525">
                      <a:noFill/>
                      <a:miter lim="800000"/>
                      <a:headEnd/>
                      <a:tailEnd/>
                    </a:ln>
                  </pic:spPr>
                </pic:pic>
              </a:graphicData>
            </a:graphic>
          </wp:inline>
        </w:drawing>
      </w:r>
    </w:p>
    <w:p w14:paraId="74AAD705" w14:textId="77777777" w:rsidR="00FF39DE" w:rsidRDefault="00FF39DE"/>
    <w:p w14:paraId="5F7AFD9C" w14:textId="432905C1" w:rsidR="00EC196E" w:rsidRDefault="00EC196E">
      <w:r>
        <w:t>The next graph (</w:t>
      </w:r>
      <w:proofErr w:type="spellStart"/>
      <w:r>
        <w:t>Dutil</w:t>
      </w:r>
      <w:proofErr w:type="spellEnd"/>
      <w:r>
        <w:t xml:space="preserve"> et al. 2010) shows that after a voluntary withdrawal of an antibiotic, the percent resistance decreased dramatically.  If the gene providing resistance is not needed for survival, the “cost” of carrying it </w:t>
      </w:r>
      <w:r w:rsidR="00E53F5D">
        <w:t xml:space="preserve">(called a fitness cost) </w:t>
      </w:r>
      <w:r>
        <w:t>may make it favorable for the bacteria to lose the gene.</w:t>
      </w:r>
      <w:r w:rsidR="00E53F5D">
        <w:t xml:space="preserve">  This is encouraging, because it indicates that antibiotic resistance proliferation can in some cases be slowed or even reversed.  However, other evidence shows that the fitn</w:t>
      </w:r>
      <w:r w:rsidR="00E8417D">
        <w:t>ess cost of carrying genes can s</w:t>
      </w:r>
      <w:r w:rsidR="00E53F5D">
        <w:t>ometimes be negligible.</w:t>
      </w:r>
    </w:p>
    <w:p w14:paraId="15D45425" w14:textId="77777777" w:rsidR="007B27E9" w:rsidRDefault="007B27E9"/>
    <w:p w14:paraId="0DACC40B" w14:textId="77777777" w:rsidR="007B27E9" w:rsidRDefault="007B27E9"/>
    <w:p w14:paraId="37E9A11B" w14:textId="77777777" w:rsidR="007B27E9" w:rsidRDefault="007B27E9"/>
    <w:p w14:paraId="11EDC181" w14:textId="5655E04D" w:rsidR="009D795C" w:rsidRDefault="00EC196E" w:rsidP="00061178">
      <w:pPr>
        <w:jc w:val="center"/>
      </w:pPr>
      <w:r w:rsidRPr="00EC196E">
        <w:rPr>
          <w:noProof/>
        </w:rPr>
        <w:lastRenderedPageBreak/>
        <w:drawing>
          <wp:inline distT="0" distB="0" distL="0" distR="0" wp14:anchorId="378ABAE5" wp14:editId="4A775815">
            <wp:extent cx="3823335" cy="302844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3829617" cy="3033417"/>
                    </a:xfrm>
                    <a:prstGeom prst="rect">
                      <a:avLst/>
                    </a:prstGeom>
                  </pic:spPr>
                </pic:pic>
              </a:graphicData>
            </a:graphic>
          </wp:inline>
        </w:drawing>
      </w:r>
    </w:p>
    <w:p w14:paraId="6925396B" w14:textId="77777777" w:rsidR="009D795C" w:rsidRDefault="009D795C"/>
    <w:p w14:paraId="5418A99E" w14:textId="77777777" w:rsidR="009D795C" w:rsidRDefault="009D795C"/>
    <w:p w14:paraId="059E13B7" w14:textId="77777777" w:rsidR="00AE1B80" w:rsidRPr="00906434" w:rsidRDefault="00AE1B80">
      <w:pPr>
        <w:rPr>
          <w:b/>
        </w:rPr>
      </w:pPr>
    </w:p>
    <w:p w14:paraId="79B0B34A" w14:textId="1459675C" w:rsidR="007B27E9" w:rsidRPr="00906434" w:rsidRDefault="00906434">
      <w:pPr>
        <w:rPr>
          <w:b/>
        </w:rPr>
      </w:pPr>
      <w:r w:rsidRPr="00906434">
        <w:rPr>
          <w:b/>
        </w:rPr>
        <w:t>Section 9. Antibiotic</w:t>
      </w:r>
      <w:r w:rsidR="007B27E9" w:rsidRPr="00906434">
        <w:rPr>
          <w:b/>
        </w:rPr>
        <w:t xml:space="preserve"> resistance in the environment</w:t>
      </w:r>
    </w:p>
    <w:p w14:paraId="67EC10A3" w14:textId="77777777" w:rsidR="003967E2" w:rsidRDefault="003967E2"/>
    <w:p w14:paraId="6E0E09E2" w14:textId="2D9E8F02" w:rsidR="003967E2" w:rsidRDefault="003967E2" w:rsidP="003967E2">
      <w:pPr>
        <w:ind w:firstLine="720"/>
        <w:rPr>
          <w:sz w:val="22"/>
          <w:szCs w:val="22"/>
        </w:rPr>
      </w:pPr>
      <w:r w:rsidRPr="000936D2">
        <w:rPr>
          <w:sz w:val="22"/>
          <w:szCs w:val="22"/>
        </w:rPr>
        <w:t>Recent w</w:t>
      </w:r>
      <w:r>
        <w:rPr>
          <w:sz w:val="22"/>
          <w:szCs w:val="22"/>
        </w:rPr>
        <w:t>ork has identified the importance</w:t>
      </w:r>
      <w:r w:rsidRPr="000936D2">
        <w:rPr>
          <w:sz w:val="22"/>
          <w:szCs w:val="22"/>
        </w:rPr>
        <w:t xml:space="preserve"> of environmental compartments in the movement of ARG</w:t>
      </w:r>
      <w:r>
        <w:rPr>
          <w:sz w:val="22"/>
          <w:szCs w:val="22"/>
        </w:rPr>
        <w:t>s</w:t>
      </w:r>
      <w:r w:rsidRPr="000936D2">
        <w:rPr>
          <w:sz w:val="22"/>
          <w:szCs w:val="22"/>
        </w:rPr>
        <w:t xml:space="preserve">.  Aquatic systems </w:t>
      </w:r>
      <w:r w:rsidRPr="000936D2">
        <w:rPr>
          <w:sz w:val="22"/>
          <w:szCs w:val="22"/>
        </w:rPr>
        <w:fldChar w:fldCharType="begin" w:fldLock="1"/>
      </w:r>
      <w:r w:rsidR="006042CD">
        <w:rPr>
          <w:sz w:val="22"/>
          <w:szCs w:val="22"/>
        </w:rPr>
        <w:instrText>ADDIN CSL_CITATION {"citationItems":[{"id":"ITEM-1","itemData":{"DOI":"10.1016/j.copbio.2008.05.006","ISSN":"0958-1669","PMID":"18534838","abstract":"Antibiotic-resistant organisms enter into water environments from human and animal sources. These bacteria are able to spread their genes into water-indigenous microbes, which also contain resistance genes. On the contrary, many antibiotics from industrial origin circulate in water environments, potentially altering microbial ecosystems. Risk assessment protocols for antibiotics and resistant bacteria in water, based on better systems for antibiotics detection and antibiotic-resistance microbial source tracking, are starting to be discussed. Methods to reduce resistant bacterial load in wastewaters, and the amount of antimicrobial agents, in most cases originated in hospitals and farms, include optimization of disinfection procedures and management of wastewater and manure. A policy for preventing mixing human-originated and animal-originated bacteria with environmental organisms seems advisable.","author":[{"dropping-particle":"","family":"Baquero","given":"Fernando","non-dropping-particle":"","parse-names":false,"suffix":""},{"dropping-particle":"","family":"Martínez","given":"José-Luis","non-dropping-particle":"","parse-names":false,"suffix":""},{"dropping-particle":"","family":"Cantón","given":"Rafael","non-dropping-particle":"","parse-names":false,"suffix":""}],"container-title":"Current opinion in biotechnology","id":"ITEM-1","issue":"3","issued":{"date-parts":[["2008","6"]]},"page":"260-5","title":"Antibiotics and antibiotic resistance in water environments.","type":"article-journal","volume":"19"},"uris":["http://www.mendeley.com/documents/?uuid=47191817-3b1b-43a9-8320-ca580f3e325b","http://www.mendeley.com/documents/?uuid=a89c17a1-2752-4d40-90d2-53a5571325ca"]},{"id":"ITEM-2","itemData":{"DOI":"10.1128/AEM.00231-14","ISSN":"1098-5336","PMID":"24632259","abstract":"Animal manures recycled onto crop production land carry antibiotic-resistant bacteria. The present study evaluated the fate in soil of selected genes associated with antibiotic resistance or genetic mobility in field plots cropped to vegetables and managed according to normal farming practice. Referenced to unmanured soil, fertilization with swine or dairy manure increased the relative abundance of the gene targets sul1, erm(B), str(B), int1, and IncW repA. Following manure application in the spring of 2012, gene copy number decayed exponentially, reaching background levels by the fall of 2012. In contrast, gene copy number following manure application in the fall of 2012 or spring of 2013 increased significantly in the weeks following application and then declined. In both cases, the relative abundance of gene copy numbers had not returned to background levels by the fall of 2013. Overall, these results suggest that under conditions characteristic of agriculture in a humid continental climate, a 1-year period following a commercial application of raw manure is sufficient to ensure that an additional soil burden of antibiotic resistance genes approaches background. The relative abundance of several gene targets exceeded background during the growing season following a spring application or an application done the previous fall. Results from the present study reinforce the advisability of treating manure prior to use in crop production systems.","author":[{"dropping-particle":"","family":"Marti","given":"Romain","non-dropping-particle":"","parse-names":false,"suffix":""},{"dropping-particle":"","family":"Tien","given":"Yuan-Ching","non-dropping-particle":"","parse-names":false,"suffix":""},{"dropping-particle":"","family":"Murray","given":"Roger","non-dropping-particle":"","parse-names":false,"suffix":""},{"dropping-particle":"","family":"Scott","given":"Andrew","non-dropping-particle":"","parse-names":false,"suffix":""},{"dropping-particle":"","family":"Sabourin","given":"Lyne","non-dropping-particle":"","parse-names":false,"suffix":""},{"dropping-particle":"","family":"Topp","given":"Edward","non-dropping-particle":"","parse-names":false,"suffix":""}],"container-title":"Applied and environmental microbiology","id":"ITEM-2","issue":"10","issued":{"date-parts":[["2014","5"]]},"page":"3258-65","title":"Safely coupling livestock and crop production systems: how rapidly do antibiotic resistance genes dissipate in soil following a commercial application of swine or dairy manure?","type":"article-journal","volume":"80"},"uris":["http://www.mendeley.com/documents/?uuid=52cdcc32-dd83-45fb-bad1-109cb658205e","http://www.mendeley.com/documents/?uuid=60d797ea-6314-4570-9185-cbf053ffaf9e"]},{"id":"ITEM-3","itemData":{"DOI":"10.1007/s11356-014-2509-4","ISSN":"1614-7499","PMID":"24448880","abstract":"Aquatic environments often receive wastewater containing pollutants such as antibiotics and heavy metals from hospital sewage, as well as contaminants from soil. The presence of these pollutants can increase the rate of exchange of resistant genes between environmental and pathogenic bacteria, which can make the treatment of various types of bacterial infections in humans and animals difficult, in addition to causing environmental problems such as ecological risk. In this study, two tetracycline-resistant Pseudomonas aeruginosa (EW32 and EW33), isolated from aquatic environments close to industries and a hospital in southeastern Brazil, were investigated regarding the possible association between tetracycline and heavy metal resistance. The isolate EW32 presented a conjugative plasmid with coresistance to tetracycline and copper, reinforcing the concern that antibiotic resistance by acquisition of plasmids can be induced by the selective pressure of heavy metals in the environment.","author":[{"dropping-particle":"","family":"Martins","given":"Vinicius Vicente","non-dropping-particle":"","parse-names":false,"suffix":""},{"dropping-particle":"","family":"Zanetti","given":"Maria Olívia Barboza","non-dropping-particle":"","parse-names":false,"suffix":""},{"dropping-particle":"","family":"Pitondo-Silva","given":"André","non-dropping-particle":"","parse-names":false,"suffix":""},{"dropping-particle":"","family":"Stehling","given":"Eliana Guedes","non-dropping-particle":"","parse-names":false,"suffix":""}],"container-title":"Environmental science and pollution research international","id":"ITEM-3","issue":"9","issued":{"date-parts":[["2014","5"]]},"page":"5873-8","title":"Aquatic environments polluted with antibiotics and heavy metals: a human health hazard.","type":"article-journal","volume":"21"},"uris":["http://www.mendeley.com/documents/?uuid=02291397-6e6d-4d68-8a43-5f32c2e4663c","http://www.mendeley.com/documents/?uuid=54528528-4a1f-48d1-a273-a42294ddca4a"]},{"id":"ITEM-4","itemData":{"author":[{"dropping-particle":"","family":"Storteboom","given":"H","non-dropping-particle":"","parse-names":false,"suffix":""},{"dropping-particle":"","family":"Arabi","given":"M","non-dropping-particle":"","parse-names":false,"suffix":""},{"dropping-particle":"","family":"Davis","given":"JG","non-dropping-particle":"","parse-names":false,"suffix":""},{"dropping-particle":"","family":"Crimi","given":"B","non-dropping-particle":"","parse-names":false,"suffix":""},{"dropping-particle":"","family":"A","given":"Pruden","non-dropping-particle":"","parse-names":false,"suffix":""}],"container-title":"Environmental science &amp; technology","id":"ITEM-4","issued":{"date-parts":[["2010"]]},"page":"7397-7404","title":"Tracking Antibiotic Resistance Genes in the South Platte River Basin Using Molecular Signatures of Urban , Agricultural , And Pristine Sources","type":"article-journal","volume":"44"},"uris":["http://www.mendeley.com/documents/?uuid=48975bc6-e824-4143-be84-03ee0da7f32c","http://www.mendeley.com/documents/?uuid=cd97d2c7-8ac8-45be-b4cf-c303109a00ff"]},{"id":"ITEM-5","itemData":{"author":[{"dropping-particle":"","family":"Pruden","given":"Amy","non-dropping-particle":"","parse-names":false,"suffix":""},{"dropping-particle":"","family":"Arabi","given":"Mazdak","non-dropping-particle":"","parse-names":false,"suffix":""},{"dropping-particle":"","family":"Storteboom","given":"Heather N","non-dropping-particle":"","parse-names":false,"suffix":""}],"container-title":"Environmental science &amp; technology","id":"ITEM-5","issued":{"date-parts":[["2012"]]},"page":"11541-11549","title":"Correlation Between Upstream Human Activities and Riverine Antibiotic Resistance Genes","type":"article-journal","volume":"46"},"uris":["http://www.mendeley.com/documents/?uuid=1de19c59-4f71-43e0-b9fc-c5d1d608286f","http://www.mendeley.com/documents/?uuid=e14461c1-85cc-4092-b3e4-ed29b856ad94"]}],"mendeley":{"formattedCitation":"(Baquero, Martínez, &amp; Cantón, 2008; Marti et al., 2014; Martins, Zanetti, Pitondo-Silva, &amp; Stehling, 2014; Pruden, Arabi, &amp; Storteboom, 2012; Storteboom, Arabi, Davis, Crimi, &amp; A, 2010)","plainTextFormattedCitation":"(Baquero, Martínez, &amp; Cantón, 2008; Marti et al., 2014; Martins, Zanetti, Pitondo-Silva, &amp; Stehling, 2014; Pruden, Arabi, &amp; Storteboom, 2012; Storteboom, Arabi, Davis, Crimi, &amp; A, 2010)","previouslyFormattedCitation":"[6], [10]–[13]"},"properties":{"noteIndex":0},"schema":"https://github.com/citation-style-language/schema/raw/master/csl-citation.json"}</w:instrText>
      </w:r>
      <w:r w:rsidRPr="000936D2">
        <w:rPr>
          <w:sz w:val="22"/>
          <w:szCs w:val="22"/>
        </w:rPr>
        <w:fldChar w:fldCharType="separate"/>
      </w:r>
      <w:r w:rsidR="006042CD" w:rsidRPr="006042CD">
        <w:rPr>
          <w:noProof/>
          <w:sz w:val="22"/>
          <w:szCs w:val="22"/>
        </w:rPr>
        <w:t>(Baquero, Martínez, &amp; Cantón, 2008; Marti et al., 2014; Martins, Zanetti, Pitondo-Silva, &amp; Stehling, 2014; Pruden, Arabi, &amp; Storteboom, 2012; Storteboom, Arabi, Davis, Crimi, &amp; A, 2010)</w:t>
      </w:r>
      <w:r w:rsidRPr="000936D2">
        <w:rPr>
          <w:sz w:val="22"/>
          <w:szCs w:val="22"/>
        </w:rPr>
        <w:fldChar w:fldCharType="end"/>
      </w:r>
      <w:r w:rsidRPr="000936D2">
        <w:rPr>
          <w:sz w:val="22"/>
          <w:szCs w:val="22"/>
        </w:rPr>
        <w:t xml:space="preserve">, biofilms </w:t>
      </w:r>
      <w:r w:rsidRPr="000936D2">
        <w:rPr>
          <w:sz w:val="22"/>
          <w:szCs w:val="22"/>
        </w:rPr>
        <w:fldChar w:fldCharType="begin" w:fldLock="1"/>
      </w:r>
      <w:r w:rsidR="006042CD">
        <w:rPr>
          <w:sz w:val="22"/>
          <w:szCs w:val="22"/>
        </w:rPr>
        <w:instrText>ADDIN CSL_CITATION {"citationItems":[{"id":"ITEM-1","itemData":{"ISBN":"1912226502","author":[{"dropping-particle":"","family":"Engemann","given":"CA","non-dropping-particle":"","parse-names":false,"suffix":""},{"dropping-particle":"","family":"Keen","given":"PL","non-dropping-particle":"","parse-names":false,"suffix":""},{"dropping-particle":"","family":"Knapp","given":"CW","non-dropping-particle":"","parse-names":false,"suffix":""},{"dropping-particle":"","family":"Hall","given":"KJ","non-dropping-particle":"","parse-names":false,"suffix":""},{"dropping-particle":"","family":"Graham","given":"DW","non-dropping-particle":"","parse-names":false,"suffix":""}],"container-title":"Environmental science &amp; technology","id":"ITEM-1","issue":"14","issued":{"date-parts":[["2008"]]},"page":"5131-5136","title":"Fate of Tetracycline Resistance Genes in Aquatic Systems : Migration from the Water Column to Peripheral Biofilms","type":"article-journal","volume":"42"},"uris":["http://www.mendeley.com/documents/?uuid=b249feab-6959-4fd9-8634-1d4c911117a7","http://www.mendeley.com/documents/?uuid=333a2918-dccc-4355-9842-c5cb55c4ecba"]},{"id":"ITEM-2","itemData":{"author":[{"dropping-particle":"","family":"Schwartz","given":"Thomas","non-dropping-particle":"","parse-names":false,"suffix":""},{"dropping-particle":"","family":"Kohnen","given":"W","non-dropping-particle":"","parse-names":false,"suffix":""},{"dropping-particle":"","family":"Jansen","given":"B","non-dropping-particle":"","parse-names":false,"suffix":""},{"dropping-particle":"","family":"Obst","given":"U","non-dropping-particle":"","parse-names":false,"suffix":""}],"id":"ITEM-2","issued":{"date-parts":[["2003"]]},"page":"325-335","title":"Detection of antibiotic-resistant bacteria and their resistance genes in wastewater , surface water , and drinking water bio ¢ lms","type":"article-journal","volume":"43"},"uris":["http://www.mendeley.com/documents/?uuid=641a1888-b3c6-4e4b-a986-c43f0ffbbd6f","http://www.mendeley.com/documents/?uuid=1981036b-f40f-46ad-a977-ce4c701b4041"]}],"mendeley":{"formattedCitation":"(Engemann, Keen, Knapp, Hall, &amp; Graham, 2008; Schwartz, Kohnen, Jansen, &amp; Obst, 2003)","plainTextFormattedCitation":"(Engemann, Keen, Knapp, Hall, &amp; Graham, 2008; Schwartz, Kohnen, Jansen, &amp; Obst, 2003)","previouslyFormattedCitation":"[14], [15]"},"properties":{"noteIndex":0},"schema":"https://github.com/citation-style-language/schema/raw/master/csl-citation.json"}</w:instrText>
      </w:r>
      <w:r w:rsidRPr="000936D2">
        <w:rPr>
          <w:sz w:val="22"/>
          <w:szCs w:val="22"/>
        </w:rPr>
        <w:fldChar w:fldCharType="separate"/>
      </w:r>
      <w:r w:rsidR="006042CD" w:rsidRPr="006042CD">
        <w:rPr>
          <w:noProof/>
          <w:sz w:val="22"/>
          <w:szCs w:val="22"/>
        </w:rPr>
        <w:t>(Engemann, Keen, Knapp, Hall, &amp; Graham, 2008; Schwartz, Kohnen, Jansen, &amp; Obst, 2003)</w:t>
      </w:r>
      <w:r w:rsidRPr="000936D2">
        <w:rPr>
          <w:sz w:val="22"/>
          <w:szCs w:val="22"/>
        </w:rPr>
        <w:fldChar w:fldCharType="end"/>
      </w:r>
      <w:r w:rsidRPr="000936D2">
        <w:rPr>
          <w:sz w:val="22"/>
          <w:szCs w:val="22"/>
        </w:rPr>
        <w:t xml:space="preserve">, and aquatic sediments </w:t>
      </w:r>
      <w:r w:rsidRPr="000936D2">
        <w:rPr>
          <w:sz w:val="22"/>
          <w:szCs w:val="22"/>
        </w:rPr>
        <w:fldChar w:fldCharType="begin" w:fldLock="1"/>
      </w:r>
      <w:r w:rsidR="006042CD">
        <w:rPr>
          <w:sz w:val="22"/>
          <w:szCs w:val="22"/>
        </w:rPr>
        <w:instrText>ADDIN CSL_CITATION {"citationItems":[{"id":"ITEM-1","itemData":{"author":[{"dropping-particle":"","family":"Cummings","given":"David E","non-dropping-particle":"","parse-names":false,"suffix":""},{"dropping-particle":"","family":"Archer","given":"Karisa F","non-dropping-particle":"","parse-names":false,"suffix":""},{"dropping-particle":"","family":"Arriola","given":"David J","non-dropping-particle":"","parse-names":false,"suffix":""},{"dropping-particle":"","family":"Baker","given":"Pieter A","non-dropping-particle":"","parse-names":false,"suffix":""},{"dropping-particle":"","family":"Faucett","given":"K Grace","non-dropping-particle":"","parse-names":false,"suffix":""},{"dropping-particle":"","family":"Laroya","given":"Jonathan B","non-dropping-particle":"","parse-names":false,"suffix":""},{"dropping-particle":"","family":"Pfeil","given":"Kelly L","non-dropping-particle":"","parse-names":false,"suffix":""},{"dropping-particle":"","family":"Ryan","given":"Cody R","non-dropping-particle":"","parse-names":false,"suffix":""},{"dropping-particle":"","family":"Ryan","given":"Kelsey R U","non-dropping-particle":"","parse-names":false,"suffix":""},{"dropping-particle":"","family":"Zuill","given":"Douglas E","non-dropping-particle":"","parse-names":false,"suffix":""}],"id":"ITEM-1","issue":"2","issued":{"date-parts":[["2011"]]},"page":"447-454","title":"Broad Dissemination of Plasmid-Mediated Quinolone Resistance Genes in Sediments of Two Urban Coastal Wetlands","type":"article-journal","volume":"45"},"uris":["http://www.mendeley.com/documents/?uuid=cbe148fd-5a36-4348-bf9f-6ccf91cc9bbf","http://www.mendeley.com/documents/?uuid=3abaa6e0-94db-4163-8949-18bc246844ae"]},{"id":"ITEM-2","itemData":{"author":[{"dropping-particle":"","family":"Chen","given":"Baowei","non-dropping-particle":"","parse-names":false,"suffix":""},{"dropping-particle":"","family":"Liang","given":"Ximei","non-dropping-particle":"","parse-names":false,"suffix":""},{"dropping-particle":"","family":"Huang","given":"Xiaoping","non-dropping-particle":"","parse-names":false,"suffix":""},{"dropping-particle":"","family":"Zhang","given":"Tong","non-dropping-particle":"","parse-names":false,"suffix":""},{"dropping-particle":"","family":"Li","given":"Xiangdong","non-dropping-particle":"","parse-names":false,"suffix":""}],"id":"ITEM-2","issued":{"date-parts":[["2013"]]},"title":"Differentiating anthropogenic impacts on ARGs in the Pearl River Estuary by using suitable gene indicators","type":"article-journal","volume":"7"},"uris":["http://www.mendeley.com/documents/?uuid=a8f65845-8fca-4a40-ae56-c7a169b72c0d","http://www.mendeley.com/documents/?uuid=a9a18d2a-b073-4b01-9090-7d157c0859b0"]},{"id":"ITEM-3","itemData":{"DOI":"10.1007/s00248-013-0187-2","ISSN":"1432-184X","PMID":"23370726","abstract":"The ocean is a natural habitat for antibiotic-producing bacteria, and marine aquaculture introduces antibiotics into the ocean to treat infections and improve aquaculture production. Studies have shown that the ocean is an important reservoir of antibiotic resistance genes. However, there is a lack of understanding and knowledge about the clinical importance of the ocean resistome. We investigated the relationship between the ocean bacterial resistome and pathogenic resistome. We applied high-throughput sequencing and metagenomic analyses to explore the resistance genes in bacterial plasmids from marine sediments. Numerous putative resistance determinants were detected among the resistance genes in the sediment bacteria. We also found that several contigs shared high identity with transposons or plasmids from human pathogens, indicating that the sediment bacteria recently contributed or acquired resistance genes from pathogens. Marine sediment bacteria could play an important role in the global exchange of antibiotic resistance.","author":[{"dropping-particle":"","family":"Yang","given":"Jing","non-dropping-particle":"","parse-names":false,"suffix":""},{"dropping-particle":"","family":"Wang","given":"Chao","non-dropping-particle":"","parse-names":false,"suffix":""},{"dropping-particle":"","family":"Shu","given":"Chang","non-dropping-particle":"","parse-names":false,"suffix":""},{"dropping-particle":"","family":"Liu","given":"Li","non-dropping-particle":"","parse-names":false,"suffix":""},{"dropping-particle":"","family":"Geng","given":"Jianing","non-dropping-particle":"","parse-names":false,"suffix":""},{"dropping-particle":"","family":"Hu","given":"Songnian","non-dropping-particle":"","parse-names":false,"suffix":""},{"dropping-particle":"","family":"Feng","given":"Jie","non-dropping-particle":"","parse-names":false,"suffix":""}],"container-title":"Microbial ecology","id":"ITEM-3","issue":"4","issued":{"date-parts":[["2013","5"]]},"page":"975-81","title":"Marine sediment bacteria harbor antibiotic resistance genes highly similar to those found in human pathogens.","type":"article-journal","volume":"65"},"uris":["http://www.mendeley.com/documents/?uuid=e1d2d087-88ff-479e-b508-9ee5a85680aa","http://www.mendeley.com/documents/?uuid=ad2d5d25-a41a-405c-9d76-144edff54b2d"]}],"mendeley":{"formattedCitation":"(Chen, Liang, Huang, Zhang, &amp; Li, 2013; Cummings et al., 2011; Yang et al., 2013)","plainTextFormattedCitation":"(Chen, Liang, Huang, Zhang, &amp; Li, 2013; Cummings et al., 2011; Yang et al., 2013)","previouslyFormattedCitation":"[16]–[18]"},"properties":{"noteIndex":0},"schema":"https://github.com/citation-style-language/schema/raw/master/csl-citation.json"}</w:instrText>
      </w:r>
      <w:r w:rsidRPr="000936D2">
        <w:rPr>
          <w:sz w:val="22"/>
          <w:szCs w:val="22"/>
        </w:rPr>
        <w:fldChar w:fldCharType="separate"/>
      </w:r>
      <w:r w:rsidR="006042CD" w:rsidRPr="006042CD">
        <w:rPr>
          <w:noProof/>
          <w:sz w:val="22"/>
          <w:szCs w:val="22"/>
        </w:rPr>
        <w:t>(Chen, Liang, Huang, Zhang, &amp; Li, 2013; Cummings et al., 2011; Yang et al., 2013)</w:t>
      </w:r>
      <w:r w:rsidRPr="000936D2">
        <w:rPr>
          <w:sz w:val="22"/>
          <w:szCs w:val="22"/>
        </w:rPr>
        <w:fldChar w:fldCharType="end"/>
      </w:r>
      <w:r w:rsidRPr="000936D2">
        <w:rPr>
          <w:sz w:val="22"/>
          <w:szCs w:val="22"/>
        </w:rPr>
        <w:t xml:space="preserve"> can all serve as important reservoirs for ARG, especially near agriculture </w:t>
      </w:r>
      <w:r w:rsidRPr="000936D2">
        <w:rPr>
          <w:sz w:val="22"/>
          <w:szCs w:val="22"/>
        </w:rPr>
        <w:fldChar w:fldCharType="begin" w:fldLock="1"/>
      </w:r>
      <w:r w:rsidR="006042CD">
        <w:rPr>
          <w:sz w:val="22"/>
          <w:szCs w:val="22"/>
        </w:rPr>
        <w:instrText>ADDIN CSL_CITATION {"citationItems":[{"id":"ITEM-1","itemData":{"author":[{"dropping-particle":"","family":"Pruden","given":"Amy","non-dropping-particle":"","parse-names":false,"suffix":""},{"dropping-particle":"","family":"Arabi","given":"Mazdak","non-dropping-particle":"","parse-names":false,"suffix":""},{"dropping-particle":"","family":"Storteboom","given":"Heather N","non-dropping-particle":"","parse-names":false,"suffix":""}],"container-title":"Environmental science &amp; technology","id":"ITEM-1","issued":{"date-parts":[["2012"]]},"page":"11541-11549","title":"Correlation Between Upstream Human Activities and Riverine Antibiotic Resistance Genes","type":"article-journal","volume":"46"},"uris":["http://www.mendeley.com/documents/?uuid=1de19c59-4f71-43e0-b9fc-c5d1d608286f","http://www.mendeley.com/documents/?uuid=e14461c1-85cc-4092-b3e4-ed29b856ad94"]}],"mendeley":{"formattedCitation":"(Pruden et al., 2012)","plainTextFormattedCitation":"(Pruden et al., 2012)","previouslyFormattedCitation":"[6]"},"properties":{"noteIndex":0},"schema":"https://github.com/citation-style-language/schema/raw/master/csl-citation.json"}</w:instrText>
      </w:r>
      <w:r w:rsidRPr="000936D2">
        <w:rPr>
          <w:sz w:val="22"/>
          <w:szCs w:val="22"/>
        </w:rPr>
        <w:fldChar w:fldCharType="separate"/>
      </w:r>
      <w:r w:rsidR="006042CD" w:rsidRPr="006042CD">
        <w:rPr>
          <w:noProof/>
          <w:sz w:val="22"/>
          <w:szCs w:val="22"/>
        </w:rPr>
        <w:t>(Pruden et al., 2012)</w:t>
      </w:r>
      <w:r w:rsidRPr="000936D2">
        <w:rPr>
          <w:sz w:val="22"/>
          <w:szCs w:val="22"/>
        </w:rPr>
        <w:fldChar w:fldCharType="end"/>
      </w:r>
      <w:r w:rsidRPr="000936D2">
        <w:rPr>
          <w:sz w:val="22"/>
          <w:szCs w:val="22"/>
        </w:rPr>
        <w:t xml:space="preserve">.  ARB can travel via air </w:t>
      </w:r>
      <w:r w:rsidRPr="000936D2">
        <w:rPr>
          <w:sz w:val="22"/>
          <w:szCs w:val="22"/>
        </w:rPr>
        <w:fldChar w:fldCharType="begin" w:fldLock="1"/>
      </w:r>
      <w:r w:rsidR="006042CD">
        <w:rPr>
          <w:sz w:val="22"/>
          <w:szCs w:val="22"/>
        </w:rPr>
        <w:instrText>ADDIN CSL_CITATION {"citationItems":[{"id":"ITEM-1","itemData":{"DOI":"10.1289/ehp.7473","ISSN":"0091-6765","author":[{"dropping-particle":"","family":"Chapin","given":"A","non-dropping-particle":"","parse-names":false,"suffix":""},{"dropping-particle":"","family":"Rule","given":"A","non-dropping-particle":"","parse-names":false,"suffix":""},{"dropping-particle":"","family":"Gibson","given":"K","non-dropping-particle":"","parse-names":false,"suffix":""},{"dropping-particle":"","family":"Buckley","given":"T","non-dropping-particle":"","parse-names":false,"suffix":""},{"dropping-particle":"","family":"Schwab","given":"K","non-dropping-particle":"","parse-names":false,"suffix":""}],"container-title":"Environmental Health Perspectives","id":"ITEM-1","issue":"2","issued":{"date-parts":[["2005","5","1"]]},"page":"137-142","title":"Airborne multidrug-resistant bacteria isolated from a concentrated swine feeding operation","type":"article-journal","volume":"113"},"uris":["http://www.mendeley.com/documents/?uuid=92d4b65a-c86e-4269-b9ad-88ea8e8091f4","http://www.mendeley.com/documents/?uuid=ad9addf6-0441-4a9c-ab73-faafefb50abb"]},{"id":"ITEM-2","itemData":{"DOI":"10.1289/ehp.8910","ISSN":"0091-6765","author":[{"dropping-particle":"","family":"Gibbs","given":"Shawn G.","non-dropping-particle":"","parse-names":false,"suffix":""},{"dropping-particle":"","family":"Green","given":"Christopher F.","non-dropping-particle":"","parse-names":false,"suffix":""},{"dropping-particle":"","family":"Tarwater","given":"Patrick M.","non-dropping-particle":"","parse-names":false,"suffix":""},{"dropping-particle":"","family":"Mota","given":"Linda C.","non-dropping-particle":"","parse-names":false,"suffix":""},{"dropping-particle":"","family":"Mena","given":"Kristina D.","non-dropping-particle":"","parse-names":false,"suffix":""},{"dropping-particle":"V.","family":"Scarpino","given":"Pasquale","non-dropping-particle":"","parse-names":false,"suffix":""}],"container-title":"Environmental Health Perspectives","id":"ITEM-2","issue":"7","issued":{"date-parts":[["2006","3","27"]]},"page":"1032-1037","title":"Isolation of Antibiotic-Resistant Bacteria from the Air Plume Downwind of a Swine Confined or Concentrated Animal Feeding Operation","type":"article-journal","volume":"114"},"uris":["http://www.mendeley.com/documents/?uuid=cefb4d1e-0d48-477c-ac7e-18dcb13f8116","http://www.mendeley.com/documents/?uuid=138025f5-7d6d-42a7-bb45-e0ad54c8739e"]},{"id":"ITEM-3","itemData":{"DOI":"10.1016/j.jiph.2008.08.001","ISSN":"1876-035X","PMID":"20701843","abstract":"Use of antimicrobial feed additives in food animal production is associated with selection for drug resistance in bacterial pathogens, which can then be released into the environment through occupational exposures, high volume ventilation of animal houses, and land application of animal wastes. We tested the hypothesis that current methods of transporting food animals from farms to slaughterhouses may result in pathogen releases and potential exposures of persons in vehicles traveling on the same road. Air and surface samples were taken from cars driving behind poultry trucks for 17 miles. Air conditioners and fans were turned off and windows fully opened. Background and blank samples were used for quality control. Samples were analyzed for susceptible and drug-resistant strains. Results indicate an increase in the number of total aerobic bacteria including both susceptible and drug-resistant enterococci isolated from air and surface samples, and suggest that food animal transport in open crates introduces a novel route of exposure to harmful microorganisms and may disseminate these pathogens into the general environment. These findings support the need for further exposure characterization, and attention to improving methods of food animal transport, especially in highly trafficked regions of high density farming such as the Delmarva Peninsula.","author":[{"dropping-particle":"","family":"Rule","given":"Ana M","non-dropping-particle":"","parse-names":false,"suffix":""},{"dropping-particle":"","family":"Evans","given":"Sean L","non-dropping-particle":"","parse-names":false,"suffix":""},{"dropping-particle":"","family":"Silbergeld","given":"Ellen K","non-dropping-particle":"","parse-names":false,"suffix":""}],"container-title":"Journal of infection and public health","id":"ITEM-3","issue":"1","issued":{"date-parts":[["2008","1"]]},"page":"33-9","title":"Food animal transport: a potential source of community exposures to health hazards from industrial farming (CAFOs).","type":"article-journal","volume":"1"},"uris":["http://www.mendeley.com/documents/?uuid=51bd5067-2f7d-42f8-8d92-9313dd91ee7d","http://www.mendeley.com/documents/?uuid=3acb40f2-5fe9-47a4-a584-d155e5a54a71"]}],"mendeley":{"formattedCitation":"(Chapin, Rule, Gibson, Buckley, &amp; Schwab, 2005; Gibbs et al., 2006; Rule, Evans, &amp; Silbergeld, 2008)","plainTextFormattedCitation":"(Chapin, Rule, Gibson, Buckley, &amp; Schwab, 2005; Gibbs et al., 2006; Rule, Evans, &amp; Silbergeld, 2008)","previouslyFormattedCitation":"[19]–[21]"},"properties":{"noteIndex":0},"schema":"https://github.com/citation-style-language/schema/raw/master/csl-citation.json"}</w:instrText>
      </w:r>
      <w:r w:rsidRPr="000936D2">
        <w:rPr>
          <w:sz w:val="22"/>
          <w:szCs w:val="22"/>
        </w:rPr>
        <w:fldChar w:fldCharType="separate"/>
      </w:r>
      <w:r w:rsidR="006042CD" w:rsidRPr="006042CD">
        <w:rPr>
          <w:noProof/>
          <w:sz w:val="22"/>
          <w:szCs w:val="22"/>
        </w:rPr>
        <w:t>(Chapin, Rule, Gibson, Buckley, &amp; Schwab, 2005; Gibbs et al., 2006; Rule, Evans, &amp; Silbergeld, 2008)</w:t>
      </w:r>
      <w:r w:rsidRPr="000936D2">
        <w:rPr>
          <w:sz w:val="22"/>
          <w:szCs w:val="22"/>
        </w:rPr>
        <w:fldChar w:fldCharType="end"/>
      </w:r>
      <w:r w:rsidRPr="000936D2">
        <w:rPr>
          <w:sz w:val="22"/>
          <w:szCs w:val="22"/>
        </w:rPr>
        <w:t>, and our recent work in this area is described below.  Transport via air or water can mobilize ARGs to other areas where selective and co-selective processes have the potential to</w:t>
      </w:r>
      <w:r>
        <w:rPr>
          <w:sz w:val="22"/>
          <w:szCs w:val="22"/>
        </w:rPr>
        <w:t xml:space="preserve"> further</w:t>
      </w:r>
      <w:r w:rsidRPr="000936D2">
        <w:rPr>
          <w:sz w:val="22"/>
          <w:szCs w:val="22"/>
        </w:rPr>
        <w:t xml:space="preserve"> increase ARG levels.</w:t>
      </w:r>
    </w:p>
    <w:p w14:paraId="2B9E0329" w14:textId="147B0224" w:rsidR="003967E2" w:rsidRPr="00E8417D" w:rsidRDefault="003967E2" w:rsidP="003967E2">
      <w:pPr>
        <w:ind w:firstLine="720"/>
        <w:rPr>
          <w:rFonts w:eastAsia="Times New Roman"/>
          <w:sz w:val="22"/>
          <w:szCs w:val="22"/>
        </w:rPr>
      </w:pPr>
      <w:r w:rsidRPr="000936D2">
        <w:rPr>
          <w:rFonts w:eastAsia="Times New Roman"/>
          <w:sz w:val="22"/>
          <w:szCs w:val="22"/>
        </w:rPr>
        <w:t xml:space="preserve">There are several routes by which an increased environmental reservoir of </w:t>
      </w:r>
      <w:r>
        <w:rPr>
          <w:rFonts w:eastAsia="Times New Roman"/>
          <w:sz w:val="22"/>
          <w:szCs w:val="22"/>
        </w:rPr>
        <w:t>antibiotic resistant bacteria (</w:t>
      </w:r>
      <w:r w:rsidRPr="000936D2">
        <w:rPr>
          <w:rFonts w:eastAsia="Times New Roman"/>
          <w:sz w:val="22"/>
          <w:szCs w:val="22"/>
        </w:rPr>
        <w:t>ARB</w:t>
      </w:r>
      <w:r>
        <w:rPr>
          <w:rFonts w:eastAsia="Times New Roman"/>
          <w:sz w:val="22"/>
          <w:szCs w:val="22"/>
        </w:rPr>
        <w:t>)</w:t>
      </w:r>
      <w:r w:rsidRPr="000936D2">
        <w:rPr>
          <w:rFonts w:eastAsia="Times New Roman"/>
          <w:sz w:val="22"/>
          <w:szCs w:val="22"/>
        </w:rPr>
        <w:t xml:space="preserve"> and ARGs can impact human health. One wa</w:t>
      </w:r>
      <w:r>
        <w:rPr>
          <w:rFonts w:eastAsia="Times New Roman"/>
          <w:sz w:val="22"/>
          <w:szCs w:val="22"/>
        </w:rPr>
        <w:t xml:space="preserve">y is through human exposure to antibiotic resistant </w:t>
      </w:r>
      <w:r w:rsidRPr="000936D2">
        <w:rPr>
          <w:rFonts w:eastAsia="Times New Roman"/>
          <w:sz w:val="22"/>
          <w:szCs w:val="22"/>
        </w:rPr>
        <w:t xml:space="preserve">zoonotic pathogens (not adapted for human-to-human transmission) </w:t>
      </w:r>
      <w:r w:rsidRPr="000936D2">
        <w:rPr>
          <w:rFonts w:eastAsia="Times New Roman"/>
          <w:sz w:val="22"/>
          <w:szCs w:val="22"/>
        </w:rPr>
        <w:fldChar w:fldCharType="begin" w:fldLock="1"/>
      </w:r>
      <w:r w:rsidR="006042CD">
        <w:rPr>
          <w:rFonts w:eastAsia="Times New Roman"/>
          <w:sz w:val="22"/>
          <w:szCs w:val="22"/>
        </w:rPr>
        <w:instrText>ADDIN CSL_CITATION {"citationItems":[{"id":"ITEM-1","itemData":{"DOI":"10.1111/eva.12185","ISSN":"17524571","author":[{"dropping-particle":"","family":"Chang","given":"Qiuzhi","non-dropping-particle":"","parse-names":false,"suffix":""},{"dropping-particle":"","family":"Wang","given":"Weike","non-dropping-particle":"","parse-names":false,"suffix":""},{"dropping-particle":"","family":"Regev-Yochay","given":"Gili","non-dropping-particle":"","parse-names":false,"suffix":""},{"dropping-particle":"","family":"Lipsitch","given":"Marc","non-dropping-particle":"","parse-names":false,"suffix":""},{"dropping-particle":"","family":"Hanage","given":"William P.","non-dropping-particle":"","parse-names":false,"suffix":""}],"container-title":"Evolutionary Applications","id":"ITEM-1","issue":"Levy 1997","issued":{"date-parts":[["2014","7","2"]]},"page":"n/a-n/a","title":"Antibiotics in agriculture and the risk to human health: how worried should we be?","type":"article-journal"},"uris":["http://www.mendeley.com/documents/?uuid=0feffa2c-bc85-4456-a6ad-bd23fbda253a","http://www.mendeley.com/documents/?uuid=e48b0af2-0364-4a6b-836a-50d792332682"]},{"id":"ITEM-2","itemData":{"author":[{"dropping-particle":"","family":"Mcewen","given":"Scott A","non-dropping-particle":"","parse-names":false,"suffix":""}],"container-title":"Antimicrobial Resistance in the Environment","id":"ITEM-2","issued":{"date-parts":[["2012"]]},"title":"Human Health Importance of Use of Antimicrobials in animals and its Selection of Antimicrobial Resistance","type":"chapter"},"uris":["http://www.mendeley.com/documents/?uuid=4459d267-64fd-4208-a68b-d653818b28df","http://www.mendeley.com/documents/?uuid=b6387fe5-ecee-4ebe-ac5a-8be762379be3"]},{"id":"ITEM-3","itemData":{"DOI":"10.1086/340251","ISBN":"1537-6591 (Electronic)\\r1058-4838 (Linking)","ISSN":"1537-6591","PMID":"11988884","abstract":"Antimicrobial resistance can have 2 effects on the outcome of infection: there can be an accompanying change in the virulence of the organism, and there can be a poorer response to treatment because of the empiric choice of an antimicrobial to which the organism is resistant. We have reviewed published studies relating antimicrobial resistance to the outcomes of infection caused by enteric pathogens. The data for Salmonella and Campylobacter infections suggest that antimicrobial-resistant strains are somewhat more virulent than susceptible strains-that is, they cause more prolonged or more severe illness than do antimicrobial-susceptible strains. However, not all studies corrected for possible differences in age and underlying diseases between patients infected by antimicrobial-resistant and -susceptible strains of Salmonella. Two studies of Campylobacter infection suggest that poorer outcomes with antimicrobial-resistant pathogens could be related to the initial choice of an ineffective antimicrobial for treatment. Estimates from various sources indicate that fluoroquinolone resistance, likely acquired from the administration of antimicrobials to food animals, leads to &gt;400,000 excess days of diarrhea in the United States per year compared with the duration that would occur if all of the isolates were susceptible. Antimicrobial resistance also could account for an extra 8677 days of hospitalization for nontyphoidal salmonellosis, mainly arising from food animals.","author":[{"dropping-particle":"","family":"Travers","given":"Karin","non-dropping-particle":"","parse-names":false,"suffix":""},{"dropping-particle":"","family":"Barza","given":"Michael","non-dropping-particle":"","parse-names":false,"suffix":""}],"container-title":"Clinical infectious diseases : an official publication of the Infectious Diseases Society of America","id":"ITEM-3","issue":"Suppl 3","issued":{"date-parts":[["2002"]]},"page":"S131-S134","title":"Morbidity of infections caused by antimicrobial-resistant bacteria.","type":"article-journal","volume":"34 Suppl 3"},"uris":["http://www.mendeley.com/documents/?uuid=fa8f0dac-23e0-4053-ab02-6520aab8e7fb","http://www.mendeley.com/documents/?uuid=a6c63baf-fce6-4519-a9bb-fb213bf1e5e3"]}],"mendeley":{"formattedCitation":"(Chang, Wang, Regev-Yochay, Lipsitch, &amp; Hanage, 2014; Mcewen, 2012; Travers &amp; Barza, 2002)","plainTextFormattedCitation":"(Chang, Wang, Regev-Yochay, Lipsitch, &amp; Hanage, 2014; Mcewen, 2012; Travers &amp; Barza, 2002)","previouslyFormattedCitation":"[22]–[24]"},"properties":{"noteIndex":0},"schema":"https://github.com/citation-style-language/schema/raw/master/csl-citation.json"}</w:instrText>
      </w:r>
      <w:r w:rsidRPr="000936D2">
        <w:rPr>
          <w:rFonts w:eastAsia="Times New Roman"/>
          <w:sz w:val="22"/>
          <w:szCs w:val="22"/>
        </w:rPr>
        <w:fldChar w:fldCharType="separate"/>
      </w:r>
      <w:r w:rsidR="006042CD" w:rsidRPr="006042CD">
        <w:rPr>
          <w:rFonts w:eastAsia="Times New Roman"/>
          <w:noProof/>
          <w:sz w:val="22"/>
          <w:szCs w:val="22"/>
        </w:rPr>
        <w:t>(Chang, Wang, Regev-Yochay, Lipsitch, &amp; Hanage, 2014; Mcewen, 2012; Travers &amp; Barza, 2002)</w:t>
      </w:r>
      <w:r w:rsidRPr="000936D2">
        <w:rPr>
          <w:rFonts w:eastAsia="Times New Roman"/>
          <w:sz w:val="22"/>
          <w:szCs w:val="22"/>
        </w:rPr>
        <w:fldChar w:fldCharType="end"/>
      </w:r>
      <w:r w:rsidRPr="000936D2">
        <w:rPr>
          <w:rFonts w:eastAsia="Times New Roman"/>
          <w:sz w:val="22"/>
          <w:szCs w:val="22"/>
        </w:rPr>
        <w:t xml:space="preserve">.  </w:t>
      </w:r>
      <w:r w:rsidRPr="000936D2">
        <w:rPr>
          <w:sz w:val="22"/>
          <w:szCs w:val="22"/>
        </w:rPr>
        <w:t xml:space="preserve">Known occurrences of direct transfer of zoonotic pathogens include the millions of cases of food-borne gastrointestinal illnesses that result from pathogens including </w:t>
      </w:r>
      <w:r w:rsidRPr="000936D2">
        <w:rPr>
          <w:i/>
          <w:sz w:val="22"/>
          <w:szCs w:val="22"/>
        </w:rPr>
        <w:t>Salmonella</w:t>
      </w:r>
      <w:r w:rsidRPr="000936D2">
        <w:rPr>
          <w:sz w:val="22"/>
          <w:szCs w:val="22"/>
        </w:rPr>
        <w:t xml:space="preserve"> and </w:t>
      </w:r>
      <w:r w:rsidRPr="000936D2">
        <w:rPr>
          <w:i/>
          <w:sz w:val="22"/>
          <w:szCs w:val="22"/>
        </w:rPr>
        <w:t>Campylobacter</w:t>
      </w:r>
      <w:r w:rsidRPr="000936D2">
        <w:rPr>
          <w:sz w:val="22"/>
          <w:szCs w:val="22"/>
        </w:rPr>
        <w:t xml:space="preserve"> each year </w:t>
      </w:r>
      <w:r w:rsidRPr="000936D2">
        <w:rPr>
          <w:sz w:val="22"/>
          <w:szCs w:val="22"/>
        </w:rPr>
        <w:fldChar w:fldCharType="begin" w:fldLock="1"/>
      </w:r>
      <w:r w:rsidR="006042CD">
        <w:rPr>
          <w:sz w:val="22"/>
          <w:szCs w:val="22"/>
        </w:rPr>
        <w:instrText>ADDIN CSL_CITATION {"citationItems":[{"id":"ITEM-1","itemData":{"DOI":"10.3201/eid1701.P11101","ISBN":"1080-6059 (Electronic) 1080-6040 (Linking)","ISSN":"10806040","PMID":"21192848","abstract":"Estimates of foodborne illness can be used to direct food safety policy and interventions. We used data from active and passive surveillance and other sources to estimate that each year 31 major pathogens acquired in the United States caused 9.4 million episodes of foodborne illness (90% credible interval [CrI] 6.6-12.7 million), 55,961 hospitalizations (90% CrI 39,534-75,741), and 1,351 deaths (90% CrI 712-2,268). Most (58%) illnesses were caused by norovirus, followed by nontyphoidal Salmonella spp. (11%), Clostridium perfringens (10%), and Campylobacter spp. (9%). Leading causes of hospitalization were nontyphoidal Salmonella spp. (35%), norovirus (26%), Campylobacter spp. (15%), and Toxoplasma gondii (8%). Leading causes of death were nontyphoidal Salmonella spp. (28%), T. gondii (24%), Listeria monocytogenes (19%), and norovirus (11%). These estimates cannot be compared with prior (1999) estimates to assess trends because different methods were used. Additional data and more refined methods can improve future estimates.","author":[{"dropping-particle":"","family":"Scallan","given":"Elaine","non-dropping-particle":"","parse-names":false,"suffix":""},{"dropping-particle":"","family":"Hoekstra","given":"Robert M.","non-dropping-particle":"","parse-names":false,"suffix":""},{"dropping-particle":"","family":"Angulo","given":"Frederick J.","non-dropping-particle":"","parse-names":false,"suffix":""},{"dropping-particle":"V.","family":"Tauxe","given":"Robert","non-dropping-particle":"","parse-names":false,"suffix":""},{"dropping-particle":"","family":"Widdowson","given":"Marc Alain","non-dropping-particle":"","parse-names":false,"suffix":""},{"dropping-particle":"","family":"Roy","given":"Sharon L.","non-dropping-particle":"","parse-names":false,"suffix":""},{"dropping-particle":"","family":"Jones","given":"Jeffery L.","non-dropping-particle":"","parse-names":false,"suffix":""},{"dropping-particle":"","family":"Griffin","given":"Patricia M.","non-dropping-particle":"","parse-names":false,"suffix":""}],"container-title":"Emerging Infectious Diseases","id":"ITEM-1","issue":"1","issued":{"date-parts":[["2011"]]},"page":"7-15","title":"Foodborne illness acquired in the United States-Major pathogens","type":"article-journal","volume":"17"},"uris":["http://www.mendeley.com/documents/?uuid=d3a59963-4884-422e-b68c-1a86a88038cc","http://www.mendeley.com/documents/?uuid=28654428-19be-46b3-8ed9-a0204918681f"]}],"mendeley":{"formattedCitation":"(Scallan et al., 2011)","plainTextFormattedCitation":"(Scallan et al., 2011)","previouslyFormattedCitation":"[25]"},"properties":{"noteIndex":0},"schema":"https://github.com/citation-style-language/schema/raw/master/csl-citation.json"}</w:instrText>
      </w:r>
      <w:r w:rsidRPr="000936D2">
        <w:rPr>
          <w:sz w:val="22"/>
          <w:szCs w:val="22"/>
        </w:rPr>
        <w:fldChar w:fldCharType="separate"/>
      </w:r>
      <w:r w:rsidR="006042CD" w:rsidRPr="006042CD">
        <w:rPr>
          <w:noProof/>
          <w:sz w:val="22"/>
          <w:szCs w:val="22"/>
        </w:rPr>
        <w:t>(Scallan et al., 2011)</w:t>
      </w:r>
      <w:r w:rsidRPr="000936D2">
        <w:rPr>
          <w:sz w:val="22"/>
          <w:szCs w:val="22"/>
        </w:rPr>
        <w:fldChar w:fldCharType="end"/>
      </w:r>
      <w:r w:rsidRPr="000936D2">
        <w:rPr>
          <w:sz w:val="22"/>
          <w:szCs w:val="22"/>
        </w:rPr>
        <w:t xml:space="preserve">. In such cases, the illness is self-limiting due to the lack of human-to-human transfer.  </w:t>
      </w:r>
      <w:r w:rsidRPr="000936D2">
        <w:rPr>
          <w:rFonts w:eastAsia="Times New Roman"/>
          <w:sz w:val="22"/>
          <w:szCs w:val="22"/>
        </w:rPr>
        <w:t xml:space="preserve">In contrast, ARGs can also be transferred to bacteria that are capable of human-to-human transmission.  Some bacteria, such as vancomycin-resistant enterococci (VRE) can serve as pathogens in both animals and humans, and once they cross the species barriers can result in sustained illness in humans </w:t>
      </w:r>
      <w:r w:rsidRPr="000936D2">
        <w:rPr>
          <w:rFonts w:eastAsia="Times New Roman"/>
          <w:sz w:val="22"/>
          <w:szCs w:val="22"/>
        </w:rPr>
        <w:fldChar w:fldCharType="begin" w:fldLock="1"/>
      </w:r>
      <w:r w:rsidR="006042CD">
        <w:rPr>
          <w:rFonts w:eastAsia="Times New Roman"/>
          <w:sz w:val="22"/>
          <w:szCs w:val="22"/>
        </w:rPr>
        <w:instrText>ADDIN CSL_CITATION {"citationItems":[{"id":"ITEM-1","itemData":{"DOI":"10.1073/pnas.092142499","ISBN":"0027-8424 (Print)\r0027-8424 (Linking)","ISSN":"00278424","PMID":"11983874","author":[{"dropping-particle":"","family":"Lipsitch","given":"Marc","non-dropping-particle":"","parse-names":false,"suffix":""},{"dropping-particle":"","family":"Singer","given":"Randall S","non-dropping-particle":"","parse-names":false,"suffix":""},{"dropping-particle":"","family":"Levin","given":"Bruce R","non-dropping-particle":"","parse-names":false,"suffix":""}],"container-title":"Proceedings of the National Academy of Sciences of the United States of America","id":"ITEM-1","issue":"9","issued":{"date-parts":[["2002"]]},"page":"5752-5754","title":"Antibiotics in agriculture: when is it time to close the barn door?","type":"article-journal","volume":"99"},"uris":["http://www.mendeley.com/documents/?uuid=806521b9-511a-4b9a-9612-54361e5a72a9","http://www.mendeley.com/documents/?uuid=673231d0-8cb8-4de7-b0a9-acb642ddcb1a"]}],"mendeley":{"formattedCitation":"(Lipsitch, Singer, &amp; Levin, 2002)","plainTextFormattedCitation":"(Lipsitch, Singer, &amp; Levin, 2002)","previouslyFormattedCitation":"[26]"},"properties":{"noteIndex":0},"schema":"https://github.com/citation-style-language/schema/raw/master/csl-citation.json"}</w:instrText>
      </w:r>
      <w:r w:rsidRPr="000936D2">
        <w:rPr>
          <w:rFonts w:eastAsia="Times New Roman"/>
          <w:sz w:val="22"/>
          <w:szCs w:val="22"/>
        </w:rPr>
        <w:fldChar w:fldCharType="separate"/>
      </w:r>
      <w:r w:rsidR="006042CD" w:rsidRPr="006042CD">
        <w:rPr>
          <w:rFonts w:eastAsia="Times New Roman"/>
          <w:noProof/>
          <w:sz w:val="22"/>
          <w:szCs w:val="22"/>
        </w:rPr>
        <w:t>(Lipsitch, Singer, &amp; Levin, 2002)</w:t>
      </w:r>
      <w:r w:rsidRPr="000936D2">
        <w:rPr>
          <w:rFonts w:eastAsia="Times New Roman"/>
          <w:sz w:val="22"/>
          <w:szCs w:val="22"/>
        </w:rPr>
        <w:fldChar w:fldCharType="end"/>
      </w:r>
      <w:r w:rsidRPr="000936D2">
        <w:rPr>
          <w:rFonts w:eastAsia="Times New Roman"/>
          <w:sz w:val="22"/>
          <w:szCs w:val="22"/>
        </w:rPr>
        <w:t>.</w:t>
      </w:r>
      <w:r w:rsidR="005A4710">
        <w:rPr>
          <w:rFonts w:eastAsia="Times New Roman"/>
          <w:sz w:val="22"/>
          <w:szCs w:val="22"/>
        </w:rPr>
        <w:t xml:space="preserve">  However, even non-pathogenic </w:t>
      </w:r>
      <w:r w:rsidRPr="000936D2">
        <w:rPr>
          <w:rFonts w:eastAsia="Times New Roman"/>
          <w:sz w:val="22"/>
          <w:szCs w:val="22"/>
        </w:rPr>
        <w:t>bacteria originating in animals can be a source of ARG</w:t>
      </w:r>
      <w:r>
        <w:rPr>
          <w:rFonts w:eastAsia="Times New Roman"/>
          <w:sz w:val="22"/>
          <w:szCs w:val="22"/>
        </w:rPr>
        <w:t>s</w:t>
      </w:r>
      <w:r w:rsidRPr="000936D2">
        <w:rPr>
          <w:rFonts w:eastAsia="Times New Roman"/>
          <w:sz w:val="22"/>
          <w:szCs w:val="22"/>
        </w:rPr>
        <w:t xml:space="preserve"> in the human </w:t>
      </w:r>
      <w:r w:rsidRPr="00E8417D">
        <w:rPr>
          <w:rFonts w:eastAsia="Times New Roman"/>
          <w:sz w:val="22"/>
          <w:szCs w:val="22"/>
        </w:rPr>
        <w:t>microbiome that may subsequently be passed among species.</w:t>
      </w:r>
    </w:p>
    <w:p w14:paraId="54DAFDEE" w14:textId="2F315EAC" w:rsidR="007B27E9" w:rsidRDefault="00D84515" w:rsidP="00E8417D">
      <w:pPr>
        <w:ind w:firstLine="720"/>
        <w:rPr>
          <w:sz w:val="22"/>
          <w:szCs w:val="22"/>
        </w:rPr>
      </w:pPr>
      <w:r w:rsidRPr="00E8417D">
        <w:rPr>
          <w:sz w:val="22"/>
          <w:szCs w:val="22"/>
        </w:rPr>
        <w:t xml:space="preserve">Recent work </w:t>
      </w:r>
      <w:r w:rsidR="005A4710" w:rsidRPr="00E8417D">
        <w:rPr>
          <w:sz w:val="22"/>
          <w:szCs w:val="22"/>
        </w:rPr>
        <w:t>in our lab (</w:t>
      </w:r>
      <w:r w:rsidRPr="00E8417D">
        <w:rPr>
          <w:sz w:val="22"/>
          <w:szCs w:val="22"/>
        </w:rPr>
        <w:t>by Sanchez et al. (2016)</w:t>
      </w:r>
      <w:r w:rsidR="005A4710" w:rsidRPr="00E8417D">
        <w:rPr>
          <w:sz w:val="22"/>
          <w:szCs w:val="22"/>
        </w:rPr>
        <w:t>)</w:t>
      </w:r>
      <w:r w:rsidRPr="00E8417D">
        <w:rPr>
          <w:sz w:val="22"/>
          <w:szCs w:val="22"/>
        </w:rPr>
        <w:t xml:space="preserve"> compared antibiotic resistant bacteria and ARGs in air samples collected near feedlots and organic cattle farms.  Three farms of each type were sampled, and from each site, 200 different bacteria from the air collected from each site (1200 in total) </w:t>
      </w:r>
      <w:r w:rsidRPr="00E8417D">
        <w:rPr>
          <w:sz w:val="22"/>
          <w:szCs w:val="22"/>
        </w:rPr>
        <w:lastRenderedPageBreak/>
        <w:t xml:space="preserve">were purified and tested individually for resistance to a suite of antibiotics.  </w:t>
      </w:r>
      <w:r w:rsidR="005A4710" w:rsidRPr="00E8417D">
        <w:rPr>
          <w:sz w:val="22"/>
          <w:szCs w:val="22"/>
        </w:rPr>
        <w:t>In general, greater resistance was observed in bacteria isolated from feedlots versus organic farms.</w:t>
      </w:r>
    </w:p>
    <w:p w14:paraId="6C6CCAE7" w14:textId="77777777" w:rsidR="0086243F" w:rsidRDefault="0086243F" w:rsidP="00E8417D">
      <w:pPr>
        <w:ind w:firstLine="720"/>
        <w:rPr>
          <w:sz w:val="22"/>
          <w:szCs w:val="22"/>
        </w:rPr>
      </w:pPr>
    </w:p>
    <w:p w14:paraId="128FC79A" w14:textId="5EC5A436" w:rsidR="0086243F" w:rsidRDefault="0086243F" w:rsidP="00E8417D">
      <w:pPr>
        <w:ind w:firstLine="720"/>
        <w:rPr>
          <w:sz w:val="22"/>
          <w:szCs w:val="22"/>
        </w:rPr>
      </w:pPr>
      <w:r w:rsidRPr="0086243F">
        <w:rPr>
          <w:noProof/>
          <w:sz w:val="22"/>
          <w:szCs w:val="22"/>
        </w:rPr>
        <w:drawing>
          <wp:inline distT="0" distB="0" distL="0" distR="0" wp14:anchorId="5F39927E" wp14:editId="3EB5D4AC">
            <wp:extent cx="4752301" cy="552294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4752301" cy="5522945"/>
                    </a:xfrm>
                    <a:prstGeom prst="rect">
                      <a:avLst/>
                    </a:prstGeom>
                  </pic:spPr>
                </pic:pic>
              </a:graphicData>
            </a:graphic>
          </wp:inline>
        </w:drawing>
      </w:r>
    </w:p>
    <w:p w14:paraId="30E92D65" w14:textId="77777777" w:rsidR="0086243F" w:rsidRDefault="0086243F" w:rsidP="00E8417D">
      <w:pPr>
        <w:ind w:firstLine="720"/>
        <w:rPr>
          <w:sz w:val="22"/>
          <w:szCs w:val="22"/>
        </w:rPr>
      </w:pPr>
    </w:p>
    <w:p w14:paraId="7C7F5C58" w14:textId="77777777" w:rsidR="0086243F" w:rsidRDefault="0086243F" w:rsidP="00E8417D">
      <w:pPr>
        <w:ind w:firstLine="720"/>
        <w:rPr>
          <w:sz w:val="22"/>
          <w:szCs w:val="22"/>
        </w:rPr>
      </w:pPr>
    </w:p>
    <w:p w14:paraId="3D06A84F" w14:textId="77777777" w:rsidR="0086243F" w:rsidRDefault="0086243F" w:rsidP="00E8417D">
      <w:pPr>
        <w:ind w:firstLine="720"/>
        <w:rPr>
          <w:sz w:val="22"/>
          <w:szCs w:val="22"/>
        </w:rPr>
      </w:pPr>
    </w:p>
    <w:p w14:paraId="23AFC2E9" w14:textId="362D10DC" w:rsidR="00E8417D" w:rsidRDefault="00E8417D" w:rsidP="00E8417D">
      <w:pPr>
        <w:ind w:firstLine="720"/>
        <w:rPr>
          <w:rFonts w:ascii="Times New Roman" w:hAnsi="Times New Roman" w:cs="Times New Roman"/>
        </w:rPr>
      </w:pPr>
      <w:r>
        <w:rPr>
          <w:rFonts w:ascii="Times New Roman" w:hAnsi="Times New Roman" w:cs="Times New Roman"/>
        </w:rPr>
        <w:t xml:space="preserve">In a study of the </w:t>
      </w:r>
      <w:proofErr w:type="spellStart"/>
      <w:r>
        <w:rPr>
          <w:rFonts w:ascii="Times New Roman" w:hAnsi="Times New Roman" w:cs="Times New Roman"/>
        </w:rPr>
        <w:t>resistome</w:t>
      </w:r>
      <w:proofErr w:type="spellEnd"/>
      <w:r w:rsidR="00E11F5C">
        <w:rPr>
          <w:rFonts w:ascii="Times New Roman" w:hAnsi="Times New Roman" w:cs="Times New Roman"/>
        </w:rPr>
        <w:t xml:space="preserve"> (which is the collection of ARGs in a particular location)</w:t>
      </w:r>
      <w:r>
        <w:rPr>
          <w:rFonts w:ascii="Times New Roman" w:hAnsi="Times New Roman" w:cs="Times New Roman"/>
        </w:rPr>
        <w:t xml:space="preserve"> in public parks in four California cities, w</w:t>
      </w:r>
      <w:r w:rsidRPr="00F3452B">
        <w:rPr>
          <w:rFonts w:ascii="Times New Roman" w:hAnsi="Times New Roman" w:cs="Times New Roman"/>
        </w:rPr>
        <w:t xml:space="preserve">e recently </w:t>
      </w:r>
      <w:r>
        <w:rPr>
          <w:rFonts w:ascii="Times New Roman" w:hAnsi="Times New Roman" w:cs="Times New Roman"/>
        </w:rPr>
        <w:t>observed dramatic city-to-</w:t>
      </w:r>
      <w:r w:rsidRPr="00F3452B">
        <w:rPr>
          <w:rFonts w:ascii="Times New Roman" w:hAnsi="Times New Roman" w:cs="Times New Roman"/>
        </w:rPr>
        <w:t xml:space="preserve">city differences for </w:t>
      </w:r>
      <w:proofErr w:type="spellStart"/>
      <w:r w:rsidRPr="00F3452B">
        <w:rPr>
          <w:rFonts w:ascii="Times New Roman" w:hAnsi="Times New Roman" w:cs="Times New Roman"/>
          <w:i/>
        </w:rPr>
        <w:t>bla</w:t>
      </w:r>
      <w:r w:rsidRPr="00F3452B">
        <w:rPr>
          <w:rFonts w:ascii="Times New Roman" w:hAnsi="Times New Roman" w:cs="Times New Roman"/>
          <w:vertAlign w:val="subscript"/>
        </w:rPr>
        <w:t>SHV</w:t>
      </w:r>
      <w:proofErr w:type="spellEnd"/>
      <w:r w:rsidRPr="00F3452B">
        <w:rPr>
          <w:rFonts w:ascii="Times New Roman" w:hAnsi="Times New Roman" w:cs="Times New Roman"/>
        </w:rPr>
        <w:t xml:space="preserve"> </w:t>
      </w:r>
      <w:r>
        <w:rPr>
          <w:rFonts w:ascii="Times New Roman" w:hAnsi="Times New Roman" w:cs="Times New Roman"/>
        </w:rPr>
        <w:t xml:space="preserve">levels </w:t>
      </w:r>
      <w:r w:rsidRPr="00F3452B">
        <w:rPr>
          <w:rFonts w:ascii="Times New Roman" w:hAnsi="Times New Roman" w:cs="Times New Roman"/>
        </w:rPr>
        <w:t>in soils, with Bakersfield having the highest levels (Figure 1)</w:t>
      </w:r>
      <w:r>
        <w:rPr>
          <w:rFonts w:ascii="Times New Roman" w:hAnsi="Times New Roman" w:cs="Times New Roman"/>
        </w:rPr>
        <w:t xml:space="preserve"> (Echeverria-Palencia et al., 2017)</w:t>
      </w:r>
      <w:r w:rsidRPr="00F3452B">
        <w:rPr>
          <w:rFonts w:ascii="Times New Roman" w:hAnsi="Times New Roman" w:cs="Times New Roman"/>
        </w:rPr>
        <w:t xml:space="preserve">.  Surprisingly, Fresno soil levels for the same gene were quite low, even though both are home to much agricultural activity.  For drinking water available at parks, San Diego and Los Angeles had more consistently detected and higher levels of </w:t>
      </w:r>
      <w:proofErr w:type="spellStart"/>
      <w:r w:rsidRPr="00F3452B">
        <w:rPr>
          <w:rFonts w:ascii="Times New Roman" w:hAnsi="Times New Roman" w:cs="Times New Roman"/>
          <w:i/>
        </w:rPr>
        <w:t>bla</w:t>
      </w:r>
      <w:r w:rsidRPr="00F3452B">
        <w:rPr>
          <w:rFonts w:ascii="Times New Roman" w:hAnsi="Times New Roman" w:cs="Times New Roman"/>
          <w:vertAlign w:val="subscript"/>
        </w:rPr>
        <w:t>SHV</w:t>
      </w:r>
      <w:proofErr w:type="spellEnd"/>
      <w:r w:rsidRPr="00F3452B">
        <w:rPr>
          <w:rFonts w:ascii="Times New Roman" w:hAnsi="Times New Roman" w:cs="Times New Roman"/>
        </w:rPr>
        <w:t xml:space="preserve"> and </w:t>
      </w:r>
      <w:r w:rsidRPr="00F3452B">
        <w:rPr>
          <w:rFonts w:ascii="Times New Roman" w:hAnsi="Times New Roman" w:cs="Times New Roman"/>
          <w:i/>
        </w:rPr>
        <w:t>sul</w:t>
      </w:r>
      <w:r w:rsidRPr="00F3452B">
        <w:rPr>
          <w:rFonts w:ascii="Times New Roman" w:hAnsi="Times New Roman" w:cs="Times New Roman"/>
        </w:rPr>
        <w:t xml:space="preserve">1, respectively (Figure 2).  In general, drinking water variability was quite high, which is both expected and difficult to elucidate given the complex and dynamic sourcing of drinking water.  </w:t>
      </w:r>
    </w:p>
    <w:p w14:paraId="09B56927" w14:textId="77777777" w:rsidR="00E8417D" w:rsidRDefault="00E8417D" w:rsidP="00E8417D">
      <w:pPr>
        <w:ind w:firstLine="720"/>
        <w:rPr>
          <w:rFonts w:ascii="Times New Roman" w:hAnsi="Times New Roman" w:cs="Times New Roman"/>
        </w:rPr>
      </w:pPr>
    </w:p>
    <w:p w14:paraId="0F8FBC69" w14:textId="77777777" w:rsidR="00E8417D" w:rsidRDefault="00E8417D" w:rsidP="00E8417D">
      <w:pPr>
        <w:ind w:firstLine="720"/>
        <w:rPr>
          <w:rFonts w:ascii="Times New Roman" w:hAnsi="Times New Roman" w:cs="Times New Roman"/>
        </w:rPr>
      </w:pPr>
    </w:p>
    <w:p w14:paraId="18E25BD5" w14:textId="77777777" w:rsidR="00E8417D" w:rsidRDefault="00E8417D" w:rsidP="00E8417D">
      <w:pPr>
        <w:ind w:left="-720" w:right="360"/>
        <w:rPr>
          <w:rFonts w:ascii="Times New Roman" w:hAnsi="Times New Roman" w:cs="Times New Roman"/>
          <w:sz w:val="22"/>
          <w:szCs w:val="22"/>
        </w:rPr>
      </w:pPr>
    </w:p>
    <w:p w14:paraId="3EE9A65D" w14:textId="1867340C" w:rsidR="00E8417D" w:rsidRPr="00BF4D61" w:rsidRDefault="00E8417D" w:rsidP="00E8417D">
      <w:pPr>
        <w:ind w:left="-720" w:right="360"/>
        <w:rPr>
          <w:rFonts w:ascii="Times New Roman" w:hAnsi="Times New Roman" w:cs="Times New Roman"/>
          <w:sz w:val="22"/>
          <w:szCs w:val="22"/>
        </w:rPr>
      </w:pPr>
      <w:r>
        <w:rPr>
          <w:noProof/>
        </w:rPr>
        <mc:AlternateContent>
          <mc:Choice Requires="wpg">
            <w:drawing>
              <wp:anchor distT="0" distB="0" distL="114300" distR="114300" simplePos="0" relativeHeight="251660288" behindDoc="0" locked="0" layoutInCell="1" allowOverlap="1" wp14:anchorId="717BB60B" wp14:editId="3203C147">
                <wp:simplePos x="0" y="0"/>
                <wp:positionH relativeFrom="column">
                  <wp:posOffset>-60960</wp:posOffset>
                </wp:positionH>
                <wp:positionV relativeFrom="paragraph">
                  <wp:posOffset>37465</wp:posOffset>
                </wp:positionV>
                <wp:extent cx="4455795" cy="1976120"/>
                <wp:effectExtent l="0" t="0" r="0" b="5080"/>
                <wp:wrapTight wrapText="bothSides">
                  <wp:wrapPolygon edited="0">
                    <wp:start x="0" y="0"/>
                    <wp:lineTo x="0" y="21378"/>
                    <wp:lineTo x="20070" y="21378"/>
                    <wp:lineTo x="20070" y="4442"/>
                    <wp:lineTo x="21178" y="3887"/>
                    <wp:lineTo x="21178" y="555"/>
                    <wp:lineTo x="20070" y="0"/>
                    <wp:lineTo x="0" y="0"/>
                  </wp:wrapPolygon>
                </wp:wrapTight>
                <wp:docPr id="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5795" cy="1976120"/>
                          <a:chOff x="183868" y="-25020"/>
                          <a:chExt cx="4484740" cy="1720850"/>
                        </a:xfrm>
                      </wpg:grpSpPr>
                      <wpg:graphicFrame>
                        <wpg:cNvPr id="9" name="Chart 9"/>
                        <wpg:cNvFrPr>
                          <a:graphicFrameLocks/>
                        </wpg:cNvFrPr>
                        <wpg:xfrm>
                          <a:off x="183868" y="-25020"/>
                          <a:ext cx="4127499" cy="1720850"/>
                        </wpg:xfrm>
                        <a:graphic>
                          <a:graphicData uri="http://schemas.openxmlformats.org/drawingml/2006/chart">
                            <c:chart xmlns:c="http://schemas.openxmlformats.org/drawingml/2006/chart" xmlns:r="http://schemas.openxmlformats.org/officeDocument/2006/relationships" r:id="rId15"/>
                          </a:graphicData>
                        </a:graphic>
                      </wpg:graphicFrame>
                      <wps:wsp>
                        <wps:cNvPr id="10" name="Text Box 10"/>
                        <wps:cNvSpPr txBox="1"/>
                        <wps:spPr>
                          <a:xfrm>
                            <a:off x="4127500" y="0"/>
                            <a:ext cx="541108" cy="3307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D4309C"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717BB60B" id="Group 29" o:spid="_x0000_s1026" style="position:absolute;left:0;text-align:left;margin-left:-4.8pt;margin-top:2.95pt;width:350.85pt;height:155.6pt;z-index:251660288" coordorigin="1838,-250" coordsize="44847,1720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27" type="#_x0000_t75" style="position:absolute;left:1777;top:-303;width:41415;height:17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">
                  <v:imagedata r:id="rId16" o:title=""/>
                  <o:lock v:ext="edit" aspectratio="f"/>
                </v:shape>
                <v:shapetype id="_x0000_t202" coordsize="21600,21600" o:spt="202" path="m,l,21600r21600,l21600,xe">
                  <v:stroke joinstyle="miter"/>
                  <v:path gradientshapeok="t" o:connecttype="rect"/>
                </v:shapetype>
                <v:shape id="Text Box 10" o:spid="_x0000_s1028" type="#_x0000_t202" style="position:absolute;left:41275;width:5411;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DD4309C"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w:t>
                        </w:r>
                      </w:p>
                    </w:txbxContent>
                  </v:textbox>
                </v:shape>
                <w10:wrap type="tight"/>
              </v:group>
            </w:pict>
          </mc:Fallback>
        </mc:AlternateContent>
      </w:r>
      <w:r w:rsidRPr="00BF4D61">
        <w:rPr>
          <w:rFonts w:ascii="Times New Roman" w:hAnsi="Times New Roman" w:cs="Times New Roman"/>
          <w:b/>
          <w:sz w:val="22"/>
          <w:szCs w:val="22"/>
        </w:rPr>
        <w:t xml:space="preserve">Figure 1 | </w:t>
      </w:r>
      <w:proofErr w:type="spellStart"/>
      <w:r w:rsidRPr="00BF4D61">
        <w:rPr>
          <w:rFonts w:ascii="Times New Roman" w:hAnsi="Times New Roman" w:cs="Times New Roman"/>
          <w:b/>
          <w:i/>
          <w:sz w:val="22"/>
          <w:szCs w:val="22"/>
        </w:rPr>
        <w:t>bla</w:t>
      </w:r>
      <w:r w:rsidRPr="00BF4D61">
        <w:rPr>
          <w:rFonts w:ascii="Times New Roman" w:hAnsi="Times New Roman" w:cs="Times New Roman"/>
          <w:b/>
          <w:sz w:val="22"/>
          <w:szCs w:val="22"/>
          <w:vertAlign w:val="subscript"/>
        </w:rPr>
        <w:t>SHV</w:t>
      </w:r>
      <w:proofErr w:type="spellEnd"/>
      <w:r w:rsidRPr="00BF4D61">
        <w:rPr>
          <w:rFonts w:ascii="Times New Roman" w:hAnsi="Times New Roman" w:cs="Times New Roman"/>
          <w:b/>
          <w:sz w:val="22"/>
          <w:szCs w:val="22"/>
        </w:rPr>
        <w:t xml:space="preserve"> ARG quantities in California soils. </w:t>
      </w:r>
      <w:r w:rsidRPr="00BF4D61">
        <w:rPr>
          <w:rFonts w:ascii="Times New Roman" w:hAnsi="Times New Roman" w:cs="Times New Roman"/>
          <w:sz w:val="22"/>
          <w:szCs w:val="22"/>
        </w:rPr>
        <w:t>Soil</w:t>
      </w:r>
      <w:r w:rsidRPr="00BF4D61">
        <w:rPr>
          <w:rFonts w:ascii="Times New Roman" w:hAnsi="Times New Roman" w:cs="Times New Roman"/>
          <w:b/>
          <w:sz w:val="22"/>
          <w:szCs w:val="22"/>
        </w:rPr>
        <w:t xml:space="preserve"> </w:t>
      </w:r>
      <w:r w:rsidRPr="00BF4D61">
        <w:rPr>
          <w:rFonts w:ascii="Times New Roman" w:hAnsi="Times New Roman" w:cs="Times New Roman"/>
          <w:sz w:val="22"/>
          <w:szCs w:val="22"/>
        </w:rPr>
        <w:t xml:space="preserve">ARG gene copy numbers across 24 parks in four California cities. Error bars denote intra-park variability when averaged over three sampling triplicates. </w:t>
      </w:r>
      <w:proofErr w:type="spellStart"/>
      <w:r w:rsidRPr="00BF4D61">
        <w:rPr>
          <w:rFonts w:ascii="Times New Roman" w:hAnsi="Times New Roman" w:cs="Times New Roman"/>
          <w:i/>
          <w:sz w:val="22"/>
          <w:szCs w:val="22"/>
        </w:rPr>
        <w:t>bla</w:t>
      </w:r>
      <w:r w:rsidRPr="00BF4D61">
        <w:rPr>
          <w:rFonts w:ascii="Times New Roman" w:hAnsi="Times New Roman" w:cs="Times New Roman"/>
          <w:sz w:val="22"/>
          <w:szCs w:val="22"/>
          <w:vertAlign w:val="subscript"/>
        </w:rPr>
        <w:t>SHV</w:t>
      </w:r>
      <w:proofErr w:type="spellEnd"/>
      <w:r w:rsidRPr="00BF4D61">
        <w:rPr>
          <w:rFonts w:ascii="Times New Roman" w:hAnsi="Times New Roman" w:cs="Times New Roman"/>
          <w:sz w:val="22"/>
          <w:szCs w:val="22"/>
        </w:rPr>
        <w:t xml:space="preserve"> copy numbers normalized to per gram of</w:t>
      </w:r>
      <w:r>
        <w:rPr>
          <w:rFonts w:ascii="Times New Roman" w:hAnsi="Times New Roman" w:cs="Times New Roman"/>
          <w:sz w:val="22"/>
          <w:szCs w:val="22"/>
        </w:rPr>
        <w:t xml:space="preserve"> soil. </w:t>
      </w:r>
      <w:r>
        <w:rPr>
          <w:rFonts w:ascii="Times New Roman" w:hAnsi="Times New Roman" w:cs="Times New Roman"/>
          <w:sz w:val="22"/>
          <w:szCs w:val="22"/>
        </w:rPr>
        <w:fldChar w:fldCharType="begin" w:fldLock="1"/>
      </w:r>
      <w:r w:rsidR="006042CD">
        <w:rPr>
          <w:rFonts w:ascii="Times New Roman" w:hAnsi="Times New Roman" w:cs="Times New Roman"/>
          <w:sz w:val="22"/>
          <w:szCs w:val="22"/>
        </w:rPr>
        <w:instrText>ADDIN CSL_CITATION {"citationItems":[{"id":"ITEM-1","itemData":{"DOI":"10.1021/acsomega.7b00118","author":[{"dropping-particle":"","family":"Echeverria-Palencia","given":"Cristina M","non-dropping-particle":"","parse-names":false,"suffix":""},{"dropping-particle":"","family":"Thulsiraj","given":"Vanessa","non-dropping-particle":"","parse-names":false,"suffix":""},{"dropping-particle":"","family":"Tran","given":"Nghi","non-dropping-particle":"","parse-names":false,"suffix":""},{"dropping-particle":"","family":"Ericksen","given":"Cody A","non-dropping-particle":"","parse-names":false,"suffix":""},{"dropping-particle":"","family":"Melendez","given":"Isabel","non-dropping-particle":"","parse-names":false,"suffix":""},{"dropping-particle":"","family":"Sanchez","given":"Michael G","non-dropping-particle":"","parse-names":false,"suffix":""},{"dropping-particle":"","family":"Walpert","given":"Devin","non-dropping-particle":"","parse-names":false,"suffix":""},{"dropping-particle":"","family":"Yuan","given":"Tony","non-dropping-particle":"","parse-names":false,"suffix":""},{"dropping-particle":"","family":"Ficara","given":"Elizabeth","non-dropping-particle":"","parse-names":false,"suffix":""},{"dropping-particle":"","family":"Senthilkumar","given":"Niru","non-dropping-particle":"","parse-names":false,"suffix":""},{"dropping-particle":"","family":"Sun","given":"Fangfang","non-dropping-particle":"","parse-names":false,"suffix":""},{"dropping-particle":"","family":"Li","given":"Renjie","non-dropping-particle":"","parse-names":false,"suffix":""},{"dropping-particle":"","family":"Hernandez-cira","given":"Marisol","non-dropping-particle":"","parse-names":false,"suffix":""},{"dropping-particle":"","family":"Gamboa","given":"Demi","non-dropping-particle":"","parse-names":false,"suffix":""},{"dropping-particle":"","family":"Haro","given":"Heather","non-dropping-particle":"","parse-names":false,"suffix":""},{"dropping-particle":"","family":"Paulson","given":"Suzanne E","non-dropping-particle":"","parse-names":false,"suffix":""},{"dropping-particle":"","family":"Zhu","given":"Yifang","non-dropping-particle":"","parse-names":false,"suffix":""},{"dropping-particle":"","family":"Jay","given":"Jennifer A","non-dropping-particle":"","parse-names":false,"suffix":""}],"container-title":"ACS Omega","id":"ITEM-1","issued":{"date-parts":[["2017"]]},"page":"2255-2263","title":"Disparate Antibiotic Resistance Gene Quantities Revealed across 4 Major Cities in California: A Survey in Drinking Water, Air, and Soil at 24 Public Parks","type":"article-journal","volume":"2"},"uris":["http://www.mendeley.com/documents/?uuid=6e828bf2-9294-4d46-a47c-e912928b4c96"]}],"mendeley":{"formattedCitation":"(Echeverria-Palencia et al., 2017)","plainTextFormattedCitation":"(Echeverria-Palencia et al., 2017)","previouslyFormattedCitation":"(Echeverria-Palencia et al., 2017)"},"properties":{"noteIndex":0},"schema":"https://github.com/citation-style-language/schema/raw/master/csl-citation.json"}</w:instrText>
      </w:r>
      <w:r>
        <w:rPr>
          <w:rFonts w:ascii="Times New Roman" w:hAnsi="Times New Roman" w:cs="Times New Roman"/>
          <w:sz w:val="22"/>
          <w:szCs w:val="22"/>
        </w:rPr>
        <w:fldChar w:fldCharType="separate"/>
      </w:r>
      <w:r w:rsidRPr="00296026">
        <w:rPr>
          <w:rFonts w:ascii="Times New Roman" w:hAnsi="Times New Roman" w:cs="Times New Roman"/>
          <w:noProof/>
          <w:sz w:val="22"/>
          <w:szCs w:val="22"/>
        </w:rPr>
        <w:t>(Echeverria-Palencia et al., 2017)</w:t>
      </w:r>
      <w:r>
        <w:rPr>
          <w:rFonts w:ascii="Times New Roman" w:hAnsi="Times New Roman" w:cs="Times New Roman"/>
          <w:sz w:val="22"/>
          <w:szCs w:val="22"/>
        </w:rPr>
        <w:fldChar w:fldCharType="end"/>
      </w:r>
    </w:p>
    <w:p w14:paraId="24A0092A" w14:textId="77777777" w:rsidR="00E8417D" w:rsidRDefault="00E8417D" w:rsidP="00E8417D">
      <w:pPr>
        <w:ind w:left="-720" w:right="360"/>
        <w:rPr>
          <w:rFonts w:ascii="Times New Roman" w:hAnsi="Times New Roman" w:cs="Times New Roman"/>
          <w:i/>
          <w:sz w:val="22"/>
          <w:szCs w:val="22"/>
        </w:rPr>
      </w:pPr>
    </w:p>
    <w:p w14:paraId="2A8C5FC2" w14:textId="77777777" w:rsidR="00E8417D" w:rsidRPr="00274C33" w:rsidRDefault="00E8417D" w:rsidP="00E8417D">
      <w:pPr>
        <w:ind w:left="-720" w:right="360"/>
        <w:rPr>
          <w:rFonts w:ascii="Times New Roman" w:hAnsi="Times New Roman" w:cs="Times New Roman"/>
          <w:sz w:val="22"/>
          <w:szCs w:val="22"/>
        </w:rPr>
      </w:pPr>
    </w:p>
    <w:p w14:paraId="66426499" w14:textId="71D67D33" w:rsidR="00E8417D" w:rsidRPr="00BF4D61" w:rsidRDefault="00E8417D" w:rsidP="00E8417D">
      <w:pPr>
        <w:widowControl w:val="0"/>
        <w:autoSpaceDE w:val="0"/>
        <w:autoSpaceDN w:val="0"/>
        <w:adjustRightInd w:val="0"/>
        <w:ind w:left="-720" w:right="360"/>
        <w:rPr>
          <w:rFonts w:ascii="Times" w:hAnsi="Times" w:cs="Times"/>
          <w:b/>
        </w:rPr>
      </w:pPr>
      <w:r>
        <w:rPr>
          <w:rFonts w:ascii="Times New Roman" w:hAnsi="Times New Roman"/>
          <w:noProof/>
          <w:sz w:val="22"/>
        </w:rPr>
        <mc:AlternateContent>
          <mc:Choice Requires="wpg">
            <w:drawing>
              <wp:anchor distT="0" distB="0" distL="114300" distR="114300" simplePos="0" relativeHeight="251659264" behindDoc="0" locked="0" layoutInCell="1" allowOverlap="1" wp14:anchorId="551A8F3E" wp14:editId="76F61E2E">
                <wp:simplePos x="0" y="0"/>
                <wp:positionH relativeFrom="column">
                  <wp:posOffset>0</wp:posOffset>
                </wp:positionH>
                <wp:positionV relativeFrom="paragraph">
                  <wp:posOffset>635</wp:posOffset>
                </wp:positionV>
                <wp:extent cx="4280535" cy="3035300"/>
                <wp:effectExtent l="0" t="0" r="12065" b="12700"/>
                <wp:wrapSquare wrapText="bothSides"/>
                <wp:docPr id="1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0535" cy="3035300"/>
                          <a:chOff x="0" y="0"/>
                          <a:chExt cx="4149345" cy="3429000"/>
                        </a:xfrm>
                      </wpg:grpSpPr>
                      <wpg:grpSp>
                        <wpg:cNvPr id="12" name="Group 12"/>
                        <wpg:cNvGrpSpPr/>
                        <wpg:grpSpPr>
                          <a:xfrm>
                            <a:off x="4232" y="5413"/>
                            <a:ext cx="4145113" cy="3423587"/>
                            <a:chOff x="4232" y="5413"/>
                            <a:chExt cx="4145113" cy="3423587"/>
                          </a:xfrm>
                        </wpg:grpSpPr>
                        <wpg:graphicFrame>
                          <wpg:cNvPr id="13" name="Chart 13"/>
                          <wpg:cNvFrPr>
                            <a:graphicFrameLocks/>
                          </wpg:cNvFrPr>
                          <wpg:xfrm>
                            <a:off x="13378" y="5413"/>
                            <a:ext cx="4135967" cy="171450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4" name="Chart 14"/>
                          <wpg:cNvFrPr>
                            <a:graphicFrameLocks/>
                          </wpg:cNvFrPr>
                          <wpg:xfrm>
                            <a:off x="4232" y="1714500"/>
                            <a:ext cx="4127500" cy="1714500"/>
                          </wpg:xfrm>
                          <a:graphic>
                            <a:graphicData uri="http://schemas.openxmlformats.org/drawingml/2006/chart">
                              <c:chart xmlns:c="http://schemas.openxmlformats.org/drawingml/2006/chart" xmlns:r="http://schemas.openxmlformats.org/officeDocument/2006/relationships" r:id="rId18"/>
                            </a:graphicData>
                          </a:graphic>
                        </wpg:graphicFrame>
                      </wpg:grpSp>
                      <wps:wsp>
                        <wps:cNvPr id="15" name="Text Box 15"/>
                        <wps:cNvSpPr txBox="1"/>
                        <wps:spPr>
                          <a:xfrm>
                            <a:off x="0" y="0"/>
                            <a:ext cx="541108" cy="3307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CA0274"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a.</w:t>
                              </w:r>
                            </w:p>
                          </w:txbxContent>
                        </wps:txbx>
                        <wps:bodyPr wrap="square" rtlCol="0" anchor="t"/>
                      </wps:wsp>
                      <wps:wsp>
                        <wps:cNvPr id="16" name="Text Box 16"/>
                        <wps:cNvSpPr txBox="1"/>
                        <wps:spPr>
                          <a:xfrm>
                            <a:off x="0" y="1714500"/>
                            <a:ext cx="541108" cy="3307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B4F37B"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b.</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551A8F3E" id="Group 30" o:spid="_x0000_s1029" style="position:absolute;left:0;text-align:left;margin-left:0;margin-top:.05pt;width:337.05pt;height:239pt;z-index:251659264" coordsize="41493,342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">
                <v:group id="Group 12" o:spid="_x0000_s1030" style="position:absolute;left:42;top:54;width:41451;height:34236" coordorigin="42,54" coordsize="4145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hart 13" o:spid="_x0000_s1031" type="#_x0000_t75" style="position:absolute;left:59;width:41482;height:17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">
                    <v:imagedata r:id="rId19" o:title=""/>
                    <o:lock v:ext="edit" aspectratio="f"/>
                  </v:shape>
                  <v:shape id="Chart 14" o:spid="_x0000_s1032" type="#_x0000_t75" style="position:absolute;top:17079;width:41364;height:17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">
                    <v:imagedata r:id="rId20" o:title=""/>
                    <o:lock v:ext="edit" aspectratio="f"/>
                  </v:shape>
                </v:group>
                <v:shape id="Text Box 15" o:spid="_x0000_s1033" type="#_x0000_t202" style="position:absolute;width:5411;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9CA0274"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a.</w:t>
                        </w:r>
                      </w:p>
                    </w:txbxContent>
                  </v:textbox>
                </v:shape>
                <v:shape id="Text Box 16" o:spid="_x0000_s1034" type="#_x0000_t202" style="position:absolute;top:17145;width:5411;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2B4F37B" w14:textId="77777777" w:rsidR="00E8417D" w:rsidRDefault="00E8417D" w:rsidP="00E8417D">
                        <w:pPr>
                          <w:pStyle w:val="NormalWeb"/>
                          <w:spacing w:before="0" w:beforeAutospacing="0" w:after="0" w:afterAutospacing="0"/>
                        </w:pPr>
                        <w:r>
                          <w:rPr>
                            <w:rFonts w:ascii="Helvetica" w:hAnsi="Helvetica" w:cs="Helvetica"/>
                            <w:b/>
                            <w:bCs/>
                            <w:color w:val="000000" w:themeColor="dark1"/>
                            <w:sz w:val="28"/>
                            <w:szCs w:val="28"/>
                          </w:rPr>
                          <w:t>b.</w:t>
                        </w:r>
                      </w:p>
                    </w:txbxContent>
                  </v:textbox>
                </v:shape>
                <w10:wrap type="square"/>
              </v:group>
            </w:pict>
          </mc:Fallback>
        </mc:AlternateContent>
      </w:r>
      <w:r w:rsidRPr="00BF4D61">
        <w:rPr>
          <w:rFonts w:ascii="Times New Roman" w:hAnsi="Times New Roman" w:cs="Times"/>
          <w:b/>
          <w:sz w:val="22"/>
        </w:rPr>
        <w:t xml:space="preserve">Figure 2 | </w:t>
      </w:r>
      <w:proofErr w:type="spellStart"/>
      <w:r w:rsidRPr="00BF4D61">
        <w:rPr>
          <w:rFonts w:ascii="Times New Roman" w:hAnsi="Times New Roman" w:cs="Times"/>
          <w:b/>
          <w:i/>
          <w:sz w:val="22"/>
        </w:rPr>
        <w:t>bla</w:t>
      </w:r>
      <w:r w:rsidRPr="00BF4D61">
        <w:rPr>
          <w:rFonts w:ascii="Times New Roman" w:hAnsi="Times New Roman" w:cs="Times"/>
          <w:b/>
          <w:sz w:val="22"/>
          <w:vertAlign w:val="subscript"/>
        </w:rPr>
        <w:t>SHV</w:t>
      </w:r>
      <w:proofErr w:type="spellEnd"/>
      <w:r w:rsidRPr="00BF4D61">
        <w:rPr>
          <w:rFonts w:ascii="Times New Roman" w:hAnsi="Times New Roman" w:cs="Times"/>
          <w:b/>
          <w:sz w:val="22"/>
        </w:rPr>
        <w:t xml:space="preserve"> ARG quantities in California tap water. </w:t>
      </w:r>
      <w:r w:rsidRPr="00BF4D61">
        <w:rPr>
          <w:rFonts w:ascii="Times New Roman" w:hAnsi="Times New Roman" w:cs="Times"/>
          <w:sz w:val="22"/>
        </w:rPr>
        <w:t>Tap water</w:t>
      </w:r>
      <w:r w:rsidRPr="00BF4D61">
        <w:rPr>
          <w:rFonts w:ascii="Times New Roman" w:hAnsi="Times New Roman" w:cs="Times"/>
          <w:b/>
          <w:sz w:val="22"/>
        </w:rPr>
        <w:t xml:space="preserve"> </w:t>
      </w:r>
      <w:r w:rsidRPr="00BF4D61">
        <w:rPr>
          <w:rFonts w:ascii="Times New Roman" w:hAnsi="Times New Roman" w:cs="Times"/>
          <w:sz w:val="22"/>
        </w:rPr>
        <w:t xml:space="preserve">ARG </w:t>
      </w:r>
      <w:r w:rsidRPr="00BF4D61">
        <w:rPr>
          <w:rFonts w:ascii="Times New Roman" w:hAnsi="Times New Roman" w:cs="Times New Roman"/>
          <w:sz w:val="22"/>
        </w:rPr>
        <w:t>gene copy numbers</w:t>
      </w:r>
      <w:r w:rsidRPr="00BF4D61">
        <w:rPr>
          <w:rFonts w:ascii="Times New Roman" w:hAnsi="Times New Roman" w:cs="Times"/>
          <w:sz w:val="22"/>
        </w:rPr>
        <w:t xml:space="preserve"> across 24 parks in four California cities. Error bars denote intra-park variability when averaged over three sampling triplicates. </w:t>
      </w:r>
      <w:r w:rsidRPr="00BF4D61">
        <w:rPr>
          <w:rFonts w:ascii="Times New Roman" w:hAnsi="Times New Roman" w:cs="Times"/>
          <w:b/>
          <w:sz w:val="22"/>
        </w:rPr>
        <w:t>(a)</w:t>
      </w:r>
      <w:r w:rsidRPr="00BF4D61">
        <w:rPr>
          <w:rFonts w:ascii="Times New Roman" w:hAnsi="Times New Roman" w:cs="Times"/>
          <w:sz w:val="22"/>
        </w:rPr>
        <w:t xml:space="preserve"> </w:t>
      </w:r>
      <w:proofErr w:type="spellStart"/>
      <w:r w:rsidRPr="00BF4D61">
        <w:rPr>
          <w:rFonts w:ascii="Times New Roman" w:hAnsi="Times New Roman" w:cs="Times"/>
          <w:i/>
          <w:sz w:val="22"/>
        </w:rPr>
        <w:t>bla</w:t>
      </w:r>
      <w:r w:rsidRPr="00BF4D61">
        <w:rPr>
          <w:rFonts w:ascii="Times New Roman" w:hAnsi="Times New Roman" w:cs="Times"/>
          <w:sz w:val="22"/>
          <w:vertAlign w:val="subscript"/>
        </w:rPr>
        <w:t>SHV</w:t>
      </w:r>
      <w:proofErr w:type="spellEnd"/>
      <w:r w:rsidRPr="00BF4D61">
        <w:rPr>
          <w:rFonts w:ascii="Times New Roman" w:hAnsi="Times New Roman" w:cs="Times"/>
          <w:sz w:val="22"/>
        </w:rPr>
        <w:t xml:space="preserve"> copy numbers normalized to per liter of water</w:t>
      </w:r>
      <w:r w:rsidRPr="00BF4D61">
        <w:rPr>
          <w:rFonts w:ascii="Times New Roman" w:hAnsi="Times New Roman" w:cs="Times"/>
          <w:b/>
          <w:sz w:val="22"/>
        </w:rPr>
        <w:t xml:space="preserve"> (b) </w:t>
      </w:r>
      <w:r w:rsidRPr="00BF4D61">
        <w:rPr>
          <w:rFonts w:ascii="Times New Roman" w:hAnsi="Times New Roman" w:cs="Times"/>
          <w:i/>
          <w:sz w:val="22"/>
        </w:rPr>
        <w:t>sul</w:t>
      </w:r>
      <w:r w:rsidRPr="00BF4D61">
        <w:rPr>
          <w:rFonts w:ascii="Times New Roman" w:hAnsi="Times New Roman" w:cs="Times"/>
          <w:sz w:val="22"/>
        </w:rPr>
        <w:t>1 copy numbers normalized to per</w:t>
      </w:r>
      <w:r w:rsidRPr="00EB545E">
        <w:rPr>
          <w:rFonts w:ascii="Times" w:hAnsi="Times" w:cs="Times"/>
        </w:rPr>
        <w:t xml:space="preserve"> </w:t>
      </w:r>
      <w:r w:rsidRPr="00BF4D61">
        <w:rPr>
          <w:rFonts w:ascii="Times New Roman" w:hAnsi="Times New Roman" w:cs="Times"/>
          <w:sz w:val="22"/>
        </w:rPr>
        <w:t>liter of water.</w:t>
      </w:r>
      <w:r>
        <w:rPr>
          <w:rFonts w:ascii="Times New Roman" w:hAnsi="Times New Roman" w:cs="Times"/>
          <w:sz w:val="22"/>
        </w:rPr>
        <w:t xml:space="preserve">  </w:t>
      </w:r>
      <w:r>
        <w:rPr>
          <w:rFonts w:ascii="Times New Roman" w:hAnsi="Times New Roman" w:cs="Times"/>
          <w:sz w:val="22"/>
        </w:rPr>
        <w:fldChar w:fldCharType="begin" w:fldLock="1"/>
      </w:r>
      <w:r w:rsidR="006042CD">
        <w:rPr>
          <w:rFonts w:ascii="Times New Roman" w:hAnsi="Times New Roman" w:cs="Times"/>
          <w:sz w:val="22"/>
        </w:rPr>
        <w:instrText>ADDIN CSL_CITATION {"citationItems":[{"id":"ITEM-1","itemData":{"DOI":"10.1021/acsomega.7b00118","author":[{"dropping-particle":"","family":"Echeverria-Palencia","given":"Cristina M","non-dropping-particle":"","parse-names":false,"suffix":""},{"dropping-particle":"","family":"Thulsiraj","given":"Vanessa","non-dropping-particle":"","parse-names":false,"suffix":""},{"dropping-particle":"","family":"Tran","given":"Nghi","non-dropping-particle":"","parse-names":false,"suffix":""},{"dropping-particle":"","family":"Ericksen","given":"Cody A","non-dropping-particle":"","parse-names":false,"suffix":""},{"dropping-particle":"","family":"Melendez","given":"Isabel","non-dropping-particle":"","parse-names":false,"suffix":""},{"dropping-particle":"","family":"Sanchez","given":"Michael G","non-dropping-particle":"","parse-names":false,"suffix":""},{"dropping-particle":"","family":"Walpert","given":"Devin","non-dropping-particle":"","parse-names":false,"suffix":""},{"dropping-particle":"","family":"Yuan","given":"Tony","non-dropping-particle":"","parse-names":false,"suffix":""},{"dropping-particle":"","family":"Ficara","given":"Elizabeth","non-dropping-particle":"","parse-names":false,"suffix":""},{"dropping-particle":"","family":"Senthilkumar","given":"Niru","non-dropping-particle":"","parse-names":false,"suffix":""},{"dropping-particle":"","family":"Sun","given":"Fangfang","non-dropping-particle":"","parse-names":false,"suffix":""},{"dropping-particle":"","family":"Li","given":"Renjie","non-dropping-particle":"","parse-names":false,"suffix":""},{"dropping-particle":"","family":"Hernandez-cira","given":"Marisol","non-dropping-particle":"","parse-names":false,"suffix":""},{"dropping-particle":"","family":"Gamboa","given":"Demi","non-dropping-particle":"","parse-names":false,"suffix":""},{"dropping-particle":"","family":"Haro","given":"Heather","non-dropping-particle":"","parse-names":false,"suffix":""},{"dropping-particle":"","family":"Paulson","given":"Suzanne E","non-dropping-particle":"","parse-names":false,"suffix":""},{"dropping-particle":"","family":"Zhu","given":"Yifang","non-dropping-particle":"","parse-names":false,"suffix":""},{"dropping-particle":"","family":"Jay","given":"Jennifer A","non-dropping-particle":"","parse-names":false,"suffix":""}],"container-title":"ACS Omega","id":"ITEM-1","issued":{"date-parts":[["2017"]]},"page":"2255-2263","title":"Disparate Antibiotic Resistance Gene Quantities Revealed across 4 Major Cities in California: A Survey in Drinking Water, Air, and Soil at 24 Public Parks","type":"article-journal","volume":"2"},"uris":["http://www.mendeley.com/documents/?uuid=6e828bf2-9294-4d46-a47c-e912928b4c96"]}],"mendeley":{"formattedCitation":"(Echeverria-Palencia et al., 2017)","plainTextFormattedCitation":"(Echeverria-Palencia et al., 2017)","previouslyFormattedCitation":"(Echeverria-Palencia et al., 2017)"},"properties":{"noteIndex":0},"schema":"https://github.com/citation-style-language/schema/raw/master/csl-citation.json"}</w:instrText>
      </w:r>
      <w:r>
        <w:rPr>
          <w:rFonts w:ascii="Times New Roman" w:hAnsi="Times New Roman" w:cs="Times"/>
          <w:sz w:val="22"/>
        </w:rPr>
        <w:fldChar w:fldCharType="separate"/>
      </w:r>
      <w:r w:rsidRPr="00296026">
        <w:rPr>
          <w:rFonts w:ascii="Times New Roman" w:hAnsi="Times New Roman" w:cs="Times"/>
          <w:noProof/>
          <w:sz w:val="22"/>
        </w:rPr>
        <w:t>(Echeverria-Palencia et al., 2017)</w:t>
      </w:r>
      <w:r>
        <w:rPr>
          <w:rFonts w:ascii="Times New Roman" w:hAnsi="Times New Roman" w:cs="Times"/>
          <w:sz w:val="22"/>
        </w:rPr>
        <w:fldChar w:fldCharType="end"/>
      </w:r>
    </w:p>
    <w:p w14:paraId="1C1A3A98" w14:textId="77777777" w:rsidR="00E8417D" w:rsidRDefault="00E8417D" w:rsidP="00E8417D">
      <w:pPr>
        <w:ind w:left="-720" w:right="360"/>
        <w:rPr>
          <w:rFonts w:ascii="Times New Roman" w:hAnsi="Times New Roman" w:cs="Times New Roman"/>
          <w:i/>
          <w:sz w:val="22"/>
          <w:szCs w:val="22"/>
        </w:rPr>
      </w:pPr>
    </w:p>
    <w:p w14:paraId="35469A1C" w14:textId="77777777" w:rsidR="00E8417D" w:rsidRDefault="00E8417D" w:rsidP="00E8417D">
      <w:pPr>
        <w:ind w:left="-720" w:right="360"/>
        <w:rPr>
          <w:rFonts w:ascii="Times New Roman" w:hAnsi="Times New Roman" w:cs="Times New Roman"/>
          <w:i/>
          <w:sz w:val="22"/>
          <w:szCs w:val="22"/>
        </w:rPr>
      </w:pPr>
    </w:p>
    <w:p w14:paraId="7092E32F" w14:textId="77777777" w:rsidR="00E8417D" w:rsidRDefault="00E8417D" w:rsidP="00E8417D">
      <w:pPr>
        <w:ind w:left="-720" w:right="360"/>
        <w:rPr>
          <w:rFonts w:ascii="Times New Roman" w:hAnsi="Times New Roman" w:cs="Times New Roman"/>
          <w:i/>
          <w:sz w:val="22"/>
          <w:szCs w:val="22"/>
        </w:rPr>
      </w:pPr>
    </w:p>
    <w:p w14:paraId="4E22790F" w14:textId="77777777" w:rsidR="00E8417D" w:rsidRDefault="00E8417D" w:rsidP="00E8417D">
      <w:pPr>
        <w:ind w:firstLine="270"/>
        <w:rPr>
          <w:rFonts w:ascii="Times New Roman" w:hAnsi="Times New Roman"/>
          <w:bCs/>
          <w:sz w:val="22"/>
        </w:rPr>
      </w:pPr>
    </w:p>
    <w:p w14:paraId="1B8B1F60" w14:textId="77777777" w:rsidR="00E8417D" w:rsidRDefault="00E8417D" w:rsidP="00E8417D">
      <w:pPr>
        <w:ind w:firstLine="270"/>
        <w:rPr>
          <w:rFonts w:ascii="Times New Roman" w:hAnsi="Times New Roman"/>
          <w:bCs/>
          <w:sz w:val="22"/>
        </w:rPr>
      </w:pPr>
    </w:p>
    <w:p w14:paraId="433F6112" w14:textId="77777777" w:rsidR="00E8417D" w:rsidRPr="005B74AD" w:rsidRDefault="00E8417D" w:rsidP="00E8417D">
      <w:pPr>
        <w:ind w:firstLine="270"/>
        <w:rPr>
          <w:rFonts w:ascii="Times New Roman" w:hAnsi="Times New Roman" w:cs="Times New Roman"/>
          <w:strike/>
        </w:rPr>
      </w:pPr>
    </w:p>
    <w:p w14:paraId="183BC750" w14:textId="77777777" w:rsidR="00E8417D" w:rsidRDefault="00E8417D" w:rsidP="00E8417D">
      <w:pPr>
        <w:ind w:firstLine="720"/>
        <w:rPr>
          <w:rFonts w:ascii="Times New Roman" w:hAnsi="Times New Roman" w:cs="Times New Roman"/>
        </w:rPr>
      </w:pPr>
    </w:p>
    <w:p w14:paraId="485A0042" w14:textId="77777777" w:rsidR="00E8417D" w:rsidRDefault="00E8417D" w:rsidP="00E8417D">
      <w:pPr>
        <w:ind w:firstLine="720"/>
        <w:rPr>
          <w:rFonts w:ascii="Times New Roman" w:hAnsi="Times New Roman" w:cs="Times New Roman"/>
        </w:rPr>
      </w:pPr>
    </w:p>
    <w:p w14:paraId="3FC8C6A8" w14:textId="77777777" w:rsidR="00E8417D" w:rsidRDefault="00E8417D" w:rsidP="00E8417D">
      <w:pPr>
        <w:ind w:firstLine="720"/>
        <w:rPr>
          <w:rFonts w:ascii="Times New Roman" w:hAnsi="Times New Roman" w:cs="Times New Roman"/>
        </w:rPr>
      </w:pPr>
    </w:p>
    <w:p w14:paraId="1479FD57" w14:textId="5EB73204" w:rsidR="00E8417D" w:rsidRDefault="00E8417D">
      <w:pPr>
        <w:rPr>
          <w:rFonts w:ascii="Times New Roman" w:hAnsi="Times New Roman" w:cs="Times New Roman"/>
        </w:rPr>
      </w:pPr>
      <w:r>
        <w:rPr>
          <w:rFonts w:ascii="Times New Roman" w:hAnsi="Times New Roman" w:cs="Times New Roman"/>
        </w:rPr>
        <w:br w:type="page"/>
      </w:r>
    </w:p>
    <w:p w14:paraId="3506BABD" w14:textId="4674DCCE" w:rsidR="00E8417D" w:rsidRPr="00906434" w:rsidRDefault="00906434" w:rsidP="00906434">
      <w:pPr>
        <w:rPr>
          <w:rFonts w:ascii="Calibri" w:hAnsi="Calibri" w:cs="Times New Roman"/>
        </w:rPr>
      </w:pPr>
      <w:r w:rsidRPr="00906434">
        <w:rPr>
          <w:rFonts w:ascii="Calibri" w:hAnsi="Calibri" w:cs="Times New Roman"/>
        </w:rPr>
        <w:lastRenderedPageBreak/>
        <w:t xml:space="preserve">Section 10. Cited </w:t>
      </w:r>
      <w:r w:rsidR="00E8417D" w:rsidRPr="00906434">
        <w:rPr>
          <w:rFonts w:ascii="Calibri" w:hAnsi="Calibri" w:cs="Times New Roman"/>
        </w:rPr>
        <w:t xml:space="preserve">References </w:t>
      </w:r>
    </w:p>
    <w:p w14:paraId="69721AE5" w14:textId="77777777" w:rsidR="00E8417D" w:rsidRPr="00906434" w:rsidRDefault="00E8417D" w:rsidP="00E8417D">
      <w:pPr>
        <w:ind w:firstLine="720"/>
        <w:rPr>
          <w:rFonts w:ascii="Calibri" w:hAnsi="Calibri" w:cs="Times New Roman"/>
        </w:rPr>
      </w:pPr>
    </w:p>
    <w:p w14:paraId="5CFE754A" w14:textId="77777777" w:rsidR="00E8417D" w:rsidRPr="00906434" w:rsidRDefault="00E8417D" w:rsidP="00E8417D">
      <w:pPr>
        <w:rPr>
          <w:rFonts w:ascii="Calibri" w:hAnsi="Calibri" w:cs="Times New Roman"/>
        </w:rPr>
      </w:pPr>
    </w:p>
    <w:p w14:paraId="2EAAD517" w14:textId="77777777" w:rsidR="00E8417D" w:rsidRPr="00906434" w:rsidRDefault="00E8417D" w:rsidP="00E8417D">
      <w:pPr>
        <w:widowControl w:val="0"/>
        <w:autoSpaceDE w:val="0"/>
        <w:autoSpaceDN w:val="0"/>
        <w:adjustRightInd w:val="0"/>
        <w:rPr>
          <w:rFonts w:ascii="Calibri" w:eastAsia="Times New Roman" w:hAnsi="Calibri" w:cs="Times New Roman"/>
        </w:rPr>
      </w:pPr>
    </w:p>
    <w:p w14:paraId="44C668D4" w14:textId="4450B44F" w:rsidR="006042CD" w:rsidRPr="006042CD" w:rsidRDefault="00E8417D" w:rsidP="006042CD">
      <w:pPr>
        <w:widowControl w:val="0"/>
        <w:autoSpaceDE w:val="0"/>
        <w:autoSpaceDN w:val="0"/>
        <w:adjustRightInd w:val="0"/>
        <w:ind w:left="480" w:hanging="480"/>
        <w:rPr>
          <w:rFonts w:ascii="Calibri" w:hAnsi="Calibri" w:cs="Calibri"/>
          <w:noProof/>
        </w:rPr>
      </w:pPr>
      <w:r w:rsidRPr="00906434">
        <w:rPr>
          <w:rFonts w:ascii="Calibri" w:eastAsia="Times New Roman" w:hAnsi="Calibri" w:cs="Times New Roman"/>
        </w:rPr>
        <w:fldChar w:fldCharType="begin" w:fldLock="1"/>
      </w:r>
      <w:r w:rsidRPr="00906434">
        <w:rPr>
          <w:rFonts w:ascii="Calibri" w:eastAsia="Times New Roman" w:hAnsi="Calibri" w:cs="Times New Roman"/>
        </w:rPr>
        <w:instrText xml:space="preserve">ADDIN Mendeley Bibliography CSL_BIBLIOGRAPHY </w:instrText>
      </w:r>
      <w:r w:rsidRPr="00906434">
        <w:rPr>
          <w:rFonts w:ascii="Calibri" w:eastAsia="Times New Roman" w:hAnsi="Calibri" w:cs="Times New Roman"/>
        </w:rPr>
        <w:fldChar w:fldCharType="separate"/>
      </w:r>
      <w:r w:rsidR="006042CD" w:rsidRPr="006042CD">
        <w:rPr>
          <w:rFonts w:ascii="Calibri" w:hAnsi="Calibri" w:cs="Calibri"/>
          <w:noProof/>
        </w:rPr>
        <w:t xml:space="preserve">Baquero, F., Martínez, J.-L., &amp; Cantón, R. (2008). Antibiotics and antibiotic resistance in water environments. </w:t>
      </w:r>
      <w:r w:rsidR="006042CD" w:rsidRPr="006042CD">
        <w:rPr>
          <w:rFonts w:ascii="Calibri" w:hAnsi="Calibri" w:cs="Calibri"/>
          <w:i/>
          <w:iCs/>
          <w:noProof/>
        </w:rPr>
        <w:t>Current Opinion in Biotechnology</w:t>
      </w:r>
      <w:r w:rsidR="006042CD" w:rsidRPr="006042CD">
        <w:rPr>
          <w:rFonts w:ascii="Calibri" w:hAnsi="Calibri" w:cs="Calibri"/>
          <w:noProof/>
        </w:rPr>
        <w:t xml:space="preserve">, </w:t>
      </w:r>
      <w:r w:rsidR="006042CD" w:rsidRPr="006042CD">
        <w:rPr>
          <w:rFonts w:ascii="Calibri" w:hAnsi="Calibri" w:cs="Calibri"/>
          <w:i/>
          <w:iCs/>
          <w:noProof/>
        </w:rPr>
        <w:t>19</w:t>
      </w:r>
      <w:r w:rsidR="006042CD" w:rsidRPr="006042CD">
        <w:rPr>
          <w:rFonts w:ascii="Calibri" w:hAnsi="Calibri" w:cs="Calibri"/>
          <w:noProof/>
        </w:rPr>
        <w:t>(3), 260–265. https://doi.org/10.1016/j.copbio.2008.05.006</w:t>
      </w:r>
    </w:p>
    <w:p w14:paraId="0AB065CF"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Chang, Q., Wang, W., Regev-Yochay, G., Lipsitch, M., &amp; Hanage, W. P. (2014). Antibiotics in agriculture and the risk to human health: how worried should we be? </w:t>
      </w:r>
      <w:r w:rsidRPr="006042CD">
        <w:rPr>
          <w:rFonts w:ascii="Calibri" w:hAnsi="Calibri" w:cs="Calibri"/>
          <w:i/>
          <w:iCs/>
          <w:noProof/>
        </w:rPr>
        <w:t>Evolutionary Applications</w:t>
      </w:r>
      <w:r w:rsidRPr="006042CD">
        <w:rPr>
          <w:rFonts w:ascii="Calibri" w:hAnsi="Calibri" w:cs="Calibri"/>
          <w:noProof/>
        </w:rPr>
        <w:t>, (Levy 1997), n/a-n/a. https://doi.org/10.1111/eva.12185</w:t>
      </w:r>
    </w:p>
    <w:p w14:paraId="2C3E730B"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Chapin, A., Rule, A., Gibson, K., Buckley, T., &amp; Schwab, K. (2005). Airborne multidrug-resistant bacteria isolated from a concentrated swine feeding operation. </w:t>
      </w:r>
      <w:r w:rsidRPr="006042CD">
        <w:rPr>
          <w:rFonts w:ascii="Calibri" w:hAnsi="Calibri" w:cs="Calibri"/>
          <w:i/>
          <w:iCs/>
          <w:noProof/>
        </w:rPr>
        <w:t>Environmental Health Perspectives</w:t>
      </w:r>
      <w:r w:rsidRPr="006042CD">
        <w:rPr>
          <w:rFonts w:ascii="Calibri" w:hAnsi="Calibri" w:cs="Calibri"/>
          <w:noProof/>
        </w:rPr>
        <w:t xml:space="preserve">, </w:t>
      </w:r>
      <w:r w:rsidRPr="006042CD">
        <w:rPr>
          <w:rFonts w:ascii="Calibri" w:hAnsi="Calibri" w:cs="Calibri"/>
          <w:i/>
          <w:iCs/>
          <w:noProof/>
        </w:rPr>
        <w:t>113</w:t>
      </w:r>
      <w:r w:rsidRPr="006042CD">
        <w:rPr>
          <w:rFonts w:ascii="Calibri" w:hAnsi="Calibri" w:cs="Calibri"/>
          <w:noProof/>
        </w:rPr>
        <w:t>(2), 137–142. https://doi.org/10.1289/ehp.7473</w:t>
      </w:r>
    </w:p>
    <w:p w14:paraId="72D0335A"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Chen, B., Liang, X., Huang, X., Zhang, T., &amp; Li, X. (2013). Differentiating anthropogenic impacts on ARGs in the Pearl River Estuary by using suitable gene indicators, </w:t>
      </w:r>
      <w:r w:rsidRPr="006042CD">
        <w:rPr>
          <w:rFonts w:ascii="Calibri" w:hAnsi="Calibri" w:cs="Calibri"/>
          <w:i/>
          <w:iCs/>
          <w:noProof/>
        </w:rPr>
        <w:t>7</w:t>
      </w:r>
      <w:r w:rsidRPr="006042CD">
        <w:rPr>
          <w:rFonts w:ascii="Calibri" w:hAnsi="Calibri" w:cs="Calibri"/>
          <w:noProof/>
        </w:rPr>
        <w:t>.</w:t>
      </w:r>
    </w:p>
    <w:p w14:paraId="196CE220" w14:textId="3519848C"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Cummings, D. E., Archer, K. F., Arriola, D. J., Baker, P. A., Faucett, K. G., Laroya, J. B., … Zuill, D. E. (2011). Broad Dissemination of Plasmid-Mediated Quinolone Resistance Genes in Sediments of Two Urban Coastal Wetlands, </w:t>
      </w:r>
      <w:r w:rsidRPr="006042CD">
        <w:rPr>
          <w:rFonts w:ascii="Calibri" w:hAnsi="Calibri" w:cs="Calibri"/>
          <w:i/>
          <w:iCs/>
          <w:noProof/>
        </w:rPr>
        <w:t>45</w:t>
      </w:r>
      <w:r w:rsidRPr="006042CD">
        <w:rPr>
          <w:rFonts w:ascii="Calibri" w:hAnsi="Calibri" w:cs="Calibri"/>
          <w:noProof/>
        </w:rPr>
        <w:t>(2), 447–454.</w:t>
      </w:r>
    </w:p>
    <w:p w14:paraId="72754F37" w14:textId="023B3980" w:rsidR="006042CD" w:rsidRPr="006042CD" w:rsidRDefault="006042CD" w:rsidP="006042CD">
      <w:pPr>
        <w:ind w:left="480" w:hanging="480"/>
        <w:rPr>
          <w:rFonts w:ascii="Calibri" w:hAnsi="Calibri" w:cs="Times New Roman"/>
        </w:rPr>
      </w:pPr>
      <w:r>
        <w:rPr>
          <w:rFonts w:ascii="Calibri" w:hAnsi="Calibri" w:cs="Times New Roman"/>
        </w:rPr>
        <w:t xml:space="preserve">Dutil et al. (2010) Ceftiofur resistance in </w:t>
      </w:r>
      <w:r w:rsidRPr="00BA76F3">
        <w:rPr>
          <w:rFonts w:ascii="Calibri" w:hAnsi="Calibri" w:cs="Times New Roman"/>
          <w:i/>
        </w:rPr>
        <w:t>Salmonella enterica</w:t>
      </w:r>
      <w:r>
        <w:rPr>
          <w:rFonts w:ascii="Calibri" w:hAnsi="Calibri" w:cs="Times New Roman"/>
        </w:rPr>
        <w:t xml:space="preserve"> serovar Heidelberg from chicken meat and humans, Canada.  Emerging Infectious Diseases. 16(1): 48-54.</w:t>
      </w:r>
    </w:p>
    <w:p w14:paraId="47CE9D79"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Echeverria-Palencia, C. M., Thulsiraj, V., Tran, N., Ericksen, C. A., Melendez, I., Sanchez, M. G., … Jay, J. A. (2017). Disparate Antibiotic Resistance Gene Quantities Revealed across 4 Major Cities in California: A Survey in Drinking Water, Air, and Soil at 24 Public Parks. </w:t>
      </w:r>
      <w:r w:rsidRPr="006042CD">
        <w:rPr>
          <w:rFonts w:ascii="Calibri" w:hAnsi="Calibri" w:cs="Calibri"/>
          <w:i/>
          <w:iCs/>
          <w:noProof/>
        </w:rPr>
        <w:t>ACS Omega</w:t>
      </w:r>
      <w:r w:rsidRPr="006042CD">
        <w:rPr>
          <w:rFonts w:ascii="Calibri" w:hAnsi="Calibri" w:cs="Calibri"/>
          <w:noProof/>
        </w:rPr>
        <w:t xml:space="preserve">, </w:t>
      </w:r>
      <w:r w:rsidRPr="006042CD">
        <w:rPr>
          <w:rFonts w:ascii="Calibri" w:hAnsi="Calibri" w:cs="Calibri"/>
          <w:i/>
          <w:iCs/>
          <w:noProof/>
        </w:rPr>
        <w:t>2</w:t>
      </w:r>
      <w:r w:rsidRPr="006042CD">
        <w:rPr>
          <w:rFonts w:ascii="Calibri" w:hAnsi="Calibri" w:cs="Calibri"/>
          <w:noProof/>
        </w:rPr>
        <w:t>, 2255–2263. https://doi.org/10.1021/acsomega.7b00118</w:t>
      </w:r>
    </w:p>
    <w:p w14:paraId="5C7C18CD"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Engemann, C., Keen, P., Knapp, C., Hall, K., &amp; Graham, D. (2008). Fate of Tetracycline Resistance Genes in Aquatic Systems : Migration from the Water Column to Peripheral Biofilms. </w:t>
      </w:r>
      <w:r w:rsidRPr="006042CD">
        <w:rPr>
          <w:rFonts w:ascii="Calibri" w:hAnsi="Calibri" w:cs="Calibri"/>
          <w:i/>
          <w:iCs/>
          <w:noProof/>
        </w:rPr>
        <w:t>Environmental Science &amp; Technology</w:t>
      </w:r>
      <w:r w:rsidRPr="006042CD">
        <w:rPr>
          <w:rFonts w:ascii="Calibri" w:hAnsi="Calibri" w:cs="Calibri"/>
          <w:noProof/>
        </w:rPr>
        <w:t xml:space="preserve">, </w:t>
      </w:r>
      <w:r w:rsidRPr="006042CD">
        <w:rPr>
          <w:rFonts w:ascii="Calibri" w:hAnsi="Calibri" w:cs="Calibri"/>
          <w:i/>
          <w:iCs/>
          <w:noProof/>
        </w:rPr>
        <w:t>42</w:t>
      </w:r>
      <w:r w:rsidRPr="006042CD">
        <w:rPr>
          <w:rFonts w:ascii="Calibri" w:hAnsi="Calibri" w:cs="Calibri"/>
          <w:noProof/>
        </w:rPr>
        <w:t>(14), 5131–5136.</w:t>
      </w:r>
    </w:p>
    <w:p w14:paraId="1FD05541"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Gibbs, S. G., Green, C. F., Tarwater, P. M., Mota, L. C., Mena, K. D., &amp; Scarpino, P. V. (2006). Isolation of Antibiotic-Resistant Bacteria from the Air Plume Downwind of a Swine Confined or Concentrated Animal Feeding Operation. </w:t>
      </w:r>
      <w:r w:rsidRPr="006042CD">
        <w:rPr>
          <w:rFonts w:ascii="Calibri" w:hAnsi="Calibri" w:cs="Calibri"/>
          <w:i/>
          <w:iCs/>
          <w:noProof/>
        </w:rPr>
        <w:t>Environmental Health Perspectives</w:t>
      </w:r>
      <w:r w:rsidRPr="006042CD">
        <w:rPr>
          <w:rFonts w:ascii="Calibri" w:hAnsi="Calibri" w:cs="Calibri"/>
          <w:noProof/>
        </w:rPr>
        <w:t xml:space="preserve">, </w:t>
      </w:r>
      <w:r w:rsidRPr="006042CD">
        <w:rPr>
          <w:rFonts w:ascii="Calibri" w:hAnsi="Calibri" w:cs="Calibri"/>
          <w:i/>
          <w:iCs/>
          <w:noProof/>
        </w:rPr>
        <w:t>114</w:t>
      </w:r>
      <w:r w:rsidRPr="006042CD">
        <w:rPr>
          <w:rFonts w:ascii="Calibri" w:hAnsi="Calibri" w:cs="Calibri"/>
          <w:noProof/>
        </w:rPr>
        <w:t>(7), 1032–1037. https://doi.org/10.1289/ehp.8910</w:t>
      </w:r>
    </w:p>
    <w:p w14:paraId="16635DDB"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Lipsitch, M., Singer, R. S., &amp; Levin, B. R. (2002). Antibiotics in agriculture: when is it time to close the barn door? </w:t>
      </w:r>
      <w:r w:rsidRPr="006042CD">
        <w:rPr>
          <w:rFonts w:ascii="Calibri" w:hAnsi="Calibri" w:cs="Calibri"/>
          <w:i/>
          <w:iCs/>
          <w:noProof/>
        </w:rPr>
        <w:t>Proceedings of the National Academy of Sciences of the United States of America</w:t>
      </w:r>
      <w:r w:rsidRPr="006042CD">
        <w:rPr>
          <w:rFonts w:ascii="Calibri" w:hAnsi="Calibri" w:cs="Calibri"/>
          <w:noProof/>
        </w:rPr>
        <w:t xml:space="preserve">, </w:t>
      </w:r>
      <w:r w:rsidRPr="006042CD">
        <w:rPr>
          <w:rFonts w:ascii="Calibri" w:hAnsi="Calibri" w:cs="Calibri"/>
          <w:i/>
          <w:iCs/>
          <w:noProof/>
        </w:rPr>
        <w:t>99</w:t>
      </w:r>
      <w:r w:rsidRPr="006042CD">
        <w:rPr>
          <w:rFonts w:ascii="Calibri" w:hAnsi="Calibri" w:cs="Calibri"/>
          <w:noProof/>
        </w:rPr>
        <w:t>(9), 5752–5754. https://doi.org/10.1073/pnas.092142499</w:t>
      </w:r>
    </w:p>
    <w:p w14:paraId="761F7285" w14:textId="5B854C3D"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Liu, Y. Y., Wang, Y., Walsh, T. R., Yi, L. X., Zhang, R., Spencer, J., … Shen, J. (2016). Emergence of plasmid-mediated colistin resistance mechanism MCR-1 in animals and human beings in China: A microbiological and molecular biological study. </w:t>
      </w:r>
      <w:r w:rsidRPr="006042CD">
        <w:rPr>
          <w:rFonts w:ascii="Calibri" w:hAnsi="Calibri" w:cs="Calibri"/>
          <w:i/>
          <w:iCs/>
          <w:noProof/>
        </w:rPr>
        <w:t>The Lancet Infectious Diseases</w:t>
      </w:r>
      <w:r w:rsidRPr="006042CD">
        <w:rPr>
          <w:rFonts w:ascii="Calibri" w:hAnsi="Calibri" w:cs="Calibri"/>
          <w:noProof/>
        </w:rPr>
        <w:t xml:space="preserve">, </w:t>
      </w:r>
      <w:r w:rsidRPr="006042CD">
        <w:rPr>
          <w:rFonts w:ascii="Calibri" w:hAnsi="Calibri" w:cs="Calibri"/>
          <w:i/>
          <w:iCs/>
          <w:noProof/>
        </w:rPr>
        <w:t>16</w:t>
      </w:r>
      <w:r w:rsidRPr="006042CD">
        <w:rPr>
          <w:rFonts w:ascii="Calibri" w:hAnsi="Calibri" w:cs="Calibri"/>
          <w:noProof/>
        </w:rPr>
        <w:t>(2), 161–168. https://doi.org/10.1016/S1473-3099(15)00424-7</w:t>
      </w:r>
    </w:p>
    <w:p w14:paraId="10C2ECC5"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Marti, R., Tien, Y.-C., Murray, R., Scott, A., Sabourin, L., &amp; Topp, E. (2014). Safely coupling livestock and crop production systems: how rapidly do antibiotic resistance genes dissipate in soil following a commercial application of swine or dairy manure? </w:t>
      </w:r>
      <w:r w:rsidRPr="006042CD">
        <w:rPr>
          <w:rFonts w:ascii="Calibri" w:hAnsi="Calibri" w:cs="Calibri"/>
          <w:i/>
          <w:iCs/>
          <w:noProof/>
        </w:rPr>
        <w:t>Applied and Environmental Microbiology</w:t>
      </w:r>
      <w:r w:rsidRPr="006042CD">
        <w:rPr>
          <w:rFonts w:ascii="Calibri" w:hAnsi="Calibri" w:cs="Calibri"/>
          <w:noProof/>
        </w:rPr>
        <w:t xml:space="preserve">, </w:t>
      </w:r>
      <w:r w:rsidRPr="006042CD">
        <w:rPr>
          <w:rFonts w:ascii="Calibri" w:hAnsi="Calibri" w:cs="Calibri"/>
          <w:i/>
          <w:iCs/>
          <w:noProof/>
        </w:rPr>
        <w:t>80</w:t>
      </w:r>
      <w:r w:rsidRPr="006042CD">
        <w:rPr>
          <w:rFonts w:ascii="Calibri" w:hAnsi="Calibri" w:cs="Calibri"/>
          <w:noProof/>
        </w:rPr>
        <w:t>(10), 3258–3265. https://doi.org/10.1128/AEM.00231-14</w:t>
      </w:r>
    </w:p>
    <w:p w14:paraId="2101FE09"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Martins, V. V., Zanetti, M. O. B., Pitondo-Silva, A., &amp; Stehling, E. G. (2014). Aquatic environments polluted with antibiotics and heavy metals: a human health hazard. </w:t>
      </w:r>
      <w:r w:rsidRPr="006042CD">
        <w:rPr>
          <w:rFonts w:ascii="Calibri" w:hAnsi="Calibri" w:cs="Calibri"/>
          <w:i/>
          <w:iCs/>
          <w:noProof/>
        </w:rPr>
        <w:lastRenderedPageBreak/>
        <w:t>Environmental Science and Pollution Research International</w:t>
      </w:r>
      <w:r w:rsidRPr="006042CD">
        <w:rPr>
          <w:rFonts w:ascii="Calibri" w:hAnsi="Calibri" w:cs="Calibri"/>
          <w:noProof/>
        </w:rPr>
        <w:t xml:space="preserve">, </w:t>
      </w:r>
      <w:r w:rsidRPr="006042CD">
        <w:rPr>
          <w:rFonts w:ascii="Calibri" w:hAnsi="Calibri" w:cs="Calibri"/>
          <w:i/>
          <w:iCs/>
          <w:noProof/>
        </w:rPr>
        <w:t>21</w:t>
      </w:r>
      <w:r w:rsidRPr="006042CD">
        <w:rPr>
          <w:rFonts w:ascii="Calibri" w:hAnsi="Calibri" w:cs="Calibri"/>
          <w:noProof/>
        </w:rPr>
        <w:t>(9), 5873–5878. https://doi.org/10.1007/s11356-014-2509-4</w:t>
      </w:r>
    </w:p>
    <w:p w14:paraId="647B6926"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Mcewen, S. A. (2012). Human Health Importance of Use of Antimicrobials in animals and its Selection of Antimicrobial Resistance. In </w:t>
      </w:r>
      <w:r w:rsidRPr="006042CD">
        <w:rPr>
          <w:rFonts w:ascii="Calibri" w:hAnsi="Calibri" w:cs="Calibri"/>
          <w:i/>
          <w:iCs/>
          <w:noProof/>
        </w:rPr>
        <w:t>Antimicrobial Resistance in the Environment</w:t>
      </w:r>
      <w:r w:rsidRPr="006042CD">
        <w:rPr>
          <w:rFonts w:ascii="Calibri" w:hAnsi="Calibri" w:cs="Calibri"/>
          <w:noProof/>
        </w:rPr>
        <w:t>.</w:t>
      </w:r>
    </w:p>
    <w:p w14:paraId="6D7DB463"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O’Neill, J. (2014). Antimicrobial Resistance : Tackling a crisis for the health and wealth of nations. </w:t>
      </w:r>
      <w:r w:rsidRPr="006042CD">
        <w:rPr>
          <w:rFonts w:ascii="Calibri" w:hAnsi="Calibri" w:cs="Calibri"/>
          <w:i/>
          <w:iCs/>
          <w:noProof/>
        </w:rPr>
        <w:t>Review on Antimicrobial Resistance</w:t>
      </w:r>
      <w:r w:rsidRPr="006042CD">
        <w:rPr>
          <w:rFonts w:ascii="Calibri" w:hAnsi="Calibri" w:cs="Calibri"/>
          <w:noProof/>
        </w:rPr>
        <w:t>, (December), 1–16.</w:t>
      </w:r>
    </w:p>
    <w:p w14:paraId="0A7E3527"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O’Neill, J. I. (2016). Tackling drug-resistant infections globally: final report and recommendations. The review on antimicrobial resistance., (May).</w:t>
      </w:r>
    </w:p>
    <w:p w14:paraId="26C9BDF6"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Olaitan, A. O., Thongmalayvong, B., Akkhavong, K., Somphavong, S., Paboriboune, P., Khounsy, S., … Rolain, J.-M. (2015). Clonal transmission of a colistin-resistant Escherichia coli from a domesticated pig to a human in Laos. </w:t>
      </w:r>
      <w:r w:rsidRPr="006042CD">
        <w:rPr>
          <w:rFonts w:ascii="Calibri" w:hAnsi="Calibri" w:cs="Calibri"/>
          <w:i/>
          <w:iCs/>
          <w:noProof/>
        </w:rPr>
        <w:t>The Journal of Antimicrobial Chemotherapy</w:t>
      </w:r>
      <w:r w:rsidRPr="006042CD">
        <w:rPr>
          <w:rFonts w:ascii="Calibri" w:hAnsi="Calibri" w:cs="Calibri"/>
          <w:noProof/>
        </w:rPr>
        <w:t>, 1–2. https://doi.org/10.1093/jac/dkv252</w:t>
      </w:r>
    </w:p>
    <w:p w14:paraId="248940F7"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Pruden, A., Arabi, M., &amp; Storteboom, H. N. (2012). Correlation Between Upstream Human Activities and Riverine Antibiotic Resistance Genes. </w:t>
      </w:r>
      <w:r w:rsidRPr="006042CD">
        <w:rPr>
          <w:rFonts w:ascii="Calibri" w:hAnsi="Calibri" w:cs="Calibri"/>
          <w:i/>
          <w:iCs/>
          <w:noProof/>
        </w:rPr>
        <w:t>Environmental Science &amp; Technology</w:t>
      </w:r>
      <w:r w:rsidRPr="006042CD">
        <w:rPr>
          <w:rFonts w:ascii="Calibri" w:hAnsi="Calibri" w:cs="Calibri"/>
          <w:noProof/>
        </w:rPr>
        <w:t xml:space="preserve">, </w:t>
      </w:r>
      <w:r w:rsidRPr="006042CD">
        <w:rPr>
          <w:rFonts w:ascii="Calibri" w:hAnsi="Calibri" w:cs="Calibri"/>
          <w:i/>
          <w:iCs/>
          <w:noProof/>
        </w:rPr>
        <w:t>46</w:t>
      </w:r>
      <w:r w:rsidRPr="006042CD">
        <w:rPr>
          <w:rFonts w:ascii="Calibri" w:hAnsi="Calibri" w:cs="Calibri"/>
          <w:noProof/>
        </w:rPr>
        <w:t>, 11541–11549.</w:t>
      </w:r>
    </w:p>
    <w:p w14:paraId="06EA0C36" w14:textId="370BB69D" w:rsidR="006042CD" w:rsidRPr="006042CD" w:rsidRDefault="006042CD" w:rsidP="006042CD">
      <w:pPr>
        <w:widowControl w:val="0"/>
        <w:autoSpaceDE w:val="0"/>
        <w:autoSpaceDN w:val="0"/>
        <w:adjustRightInd w:val="0"/>
        <w:ind w:left="540" w:hanging="540"/>
        <w:rPr>
          <w:rFonts w:ascii="Calibri" w:hAnsi="Calibri" w:cs="Calibri"/>
          <w:noProof/>
        </w:rPr>
      </w:pPr>
      <w:r w:rsidRPr="006042CD">
        <w:rPr>
          <w:rFonts w:ascii="Calibri" w:hAnsi="Calibri" w:cs="Calibri"/>
          <w:noProof/>
        </w:rPr>
        <w:t xml:space="preserve">Rule, A. M., Evans, S. L., &amp; Silbergeld, E. K. (2008). Food animal transport: a potential source of community exposures to health hazards from industrial farming (CAFOs). </w:t>
      </w:r>
      <w:r w:rsidRPr="006042CD">
        <w:rPr>
          <w:rFonts w:ascii="Calibri" w:hAnsi="Calibri" w:cs="Calibri"/>
          <w:i/>
          <w:iCs/>
          <w:noProof/>
        </w:rPr>
        <w:t>Journal of Infection and Public Health</w:t>
      </w:r>
      <w:r w:rsidRPr="006042CD">
        <w:rPr>
          <w:rFonts w:ascii="Calibri" w:hAnsi="Calibri" w:cs="Calibri"/>
          <w:noProof/>
        </w:rPr>
        <w:t xml:space="preserve">, </w:t>
      </w:r>
      <w:r w:rsidRPr="006042CD">
        <w:rPr>
          <w:rFonts w:ascii="Calibri" w:hAnsi="Calibri" w:cs="Calibri"/>
          <w:i/>
          <w:iCs/>
          <w:noProof/>
        </w:rPr>
        <w:t>1</w:t>
      </w:r>
      <w:r w:rsidRPr="006042CD">
        <w:rPr>
          <w:rFonts w:ascii="Calibri" w:hAnsi="Calibri" w:cs="Calibri"/>
          <w:noProof/>
        </w:rPr>
        <w:t>(1), 33–39. https://doi.org/10.1016/j.jiph.2008.08.001</w:t>
      </w:r>
    </w:p>
    <w:p w14:paraId="7479FCF4" w14:textId="576968B2" w:rsidR="006042CD" w:rsidRPr="006042CD" w:rsidRDefault="006042CD" w:rsidP="006042CD">
      <w:pPr>
        <w:ind w:left="540" w:hanging="540"/>
        <w:rPr>
          <w:rFonts w:ascii="Calibri" w:hAnsi="Calibri" w:cs="Times New Roman"/>
          <w:color w:val="101010"/>
        </w:rPr>
      </w:pPr>
      <w:r w:rsidRPr="00906434">
        <w:rPr>
          <w:rFonts w:ascii="Calibri" w:hAnsi="Calibri" w:cs="Times New Roman"/>
          <w:noProof/>
        </w:rPr>
        <w:t>Sanchez, H., Echeverria, C., Flores, A., Thulsiraj, V., Zimmer-Faust, A., Laitz, M., Healy, G., Mahendra, S., Paulson, S. E., Zhu, Y., Jay, J.A. (2016) Comparison of antibiotic resistance in airborne bacteria near conventional and organic beef production facilities in California, USA.</w:t>
      </w:r>
      <w:r w:rsidRPr="00906434">
        <w:rPr>
          <w:rFonts w:ascii="Calibri" w:hAnsi="Calibri" w:cs="Times New Roman"/>
          <w:i/>
          <w:noProof/>
        </w:rPr>
        <w:t xml:space="preserve"> </w:t>
      </w:r>
      <w:r w:rsidRPr="00906434">
        <w:rPr>
          <w:rFonts w:ascii="Calibri" w:hAnsi="Calibri" w:cs="Times New Roman"/>
          <w:noProof/>
        </w:rPr>
        <w:t xml:space="preserve">Water Air and Soil Pollution, 227:280 </w:t>
      </w:r>
      <w:r w:rsidRPr="00906434">
        <w:rPr>
          <w:rFonts w:ascii="Calibri" w:hAnsi="Calibri" w:cs="Times New Roman"/>
          <w:color w:val="101010"/>
        </w:rPr>
        <w:t>DOI 10.1007/s11270-016-2979-8</w:t>
      </w:r>
    </w:p>
    <w:p w14:paraId="2190BB15"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Scallan, E., Hoekstra, R. M., Angulo, F. J., Tauxe, R. V., Widdowson, M. A., Roy, S. L., … Griffin, P. M. (2011). Foodborne illness acquired in the United States-Major pathogens. </w:t>
      </w:r>
      <w:r w:rsidRPr="006042CD">
        <w:rPr>
          <w:rFonts w:ascii="Calibri" w:hAnsi="Calibri" w:cs="Calibri"/>
          <w:i/>
          <w:iCs/>
          <w:noProof/>
        </w:rPr>
        <w:t>Emerging Infectious Diseases</w:t>
      </w:r>
      <w:r w:rsidRPr="006042CD">
        <w:rPr>
          <w:rFonts w:ascii="Calibri" w:hAnsi="Calibri" w:cs="Calibri"/>
          <w:noProof/>
        </w:rPr>
        <w:t xml:space="preserve">, </w:t>
      </w:r>
      <w:r w:rsidRPr="006042CD">
        <w:rPr>
          <w:rFonts w:ascii="Calibri" w:hAnsi="Calibri" w:cs="Calibri"/>
          <w:i/>
          <w:iCs/>
          <w:noProof/>
        </w:rPr>
        <w:t>17</w:t>
      </w:r>
      <w:r w:rsidRPr="006042CD">
        <w:rPr>
          <w:rFonts w:ascii="Calibri" w:hAnsi="Calibri" w:cs="Calibri"/>
          <w:noProof/>
        </w:rPr>
        <w:t>(1), 7–15. https://doi.org/10.3201/eid1701.P11101</w:t>
      </w:r>
    </w:p>
    <w:p w14:paraId="4865E015" w14:textId="796C28EB" w:rsidR="006042CD" w:rsidRDefault="006042CD" w:rsidP="006042CD">
      <w:pPr>
        <w:widowControl w:val="0"/>
        <w:autoSpaceDE w:val="0"/>
        <w:autoSpaceDN w:val="0"/>
        <w:adjustRightInd w:val="0"/>
        <w:ind w:left="450" w:hanging="450"/>
        <w:rPr>
          <w:rFonts w:ascii="Calibri" w:hAnsi="Calibri" w:cs="Calibri"/>
          <w:noProof/>
        </w:rPr>
      </w:pPr>
      <w:r w:rsidRPr="006042CD">
        <w:rPr>
          <w:rFonts w:ascii="Calibri" w:hAnsi="Calibri" w:cs="Calibri"/>
          <w:noProof/>
        </w:rPr>
        <w:t xml:space="preserve">Schwartz, T., Kohnen, W., Jansen, B., &amp; Obst, U. (2003). Detection of antibiotic-resistant bacteria and their resistance genes in wastewater , surface water , and drinking water bio ¢ lms, </w:t>
      </w:r>
      <w:r w:rsidRPr="006042CD">
        <w:rPr>
          <w:rFonts w:ascii="Calibri" w:hAnsi="Calibri" w:cs="Calibri"/>
          <w:i/>
          <w:iCs/>
          <w:noProof/>
        </w:rPr>
        <w:t>43</w:t>
      </w:r>
      <w:r w:rsidRPr="006042CD">
        <w:rPr>
          <w:rFonts w:ascii="Calibri" w:hAnsi="Calibri" w:cs="Calibri"/>
          <w:noProof/>
        </w:rPr>
        <w:t>, 325–335.</w:t>
      </w:r>
    </w:p>
    <w:p w14:paraId="7E3FBB55" w14:textId="791D2187" w:rsidR="006042CD" w:rsidRPr="006042CD" w:rsidRDefault="006042CD" w:rsidP="006042CD">
      <w:pPr>
        <w:ind w:left="450" w:hanging="450"/>
        <w:rPr>
          <w:rFonts w:ascii="Calibri" w:eastAsia="Times New Roman" w:hAnsi="Calibri" w:cs="Times New Roman"/>
        </w:rPr>
      </w:pPr>
      <w:r>
        <w:rPr>
          <w:rFonts w:ascii="Calibri" w:hAnsi="Calibri" w:cs="Times New Roman"/>
          <w:color w:val="101010"/>
        </w:rPr>
        <w:t>Silbergeld, E., Graham, J., Price, L.B. (2008) Industrial food animal production, antibiotic resistance, and human health.  Annual Reviews in Public Health. 29:151-16.</w:t>
      </w:r>
    </w:p>
    <w:p w14:paraId="07525C1A" w14:textId="196685D5" w:rsidR="006042CD" w:rsidRPr="006042CD" w:rsidRDefault="006042CD" w:rsidP="006042CD">
      <w:pPr>
        <w:widowControl w:val="0"/>
        <w:autoSpaceDE w:val="0"/>
        <w:autoSpaceDN w:val="0"/>
        <w:adjustRightInd w:val="0"/>
        <w:ind w:left="450" w:hanging="450"/>
        <w:rPr>
          <w:rFonts w:ascii="Calibri" w:hAnsi="Calibri" w:cs="Calibri"/>
          <w:noProof/>
        </w:rPr>
      </w:pPr>
      <w:r w:rsidRPr="006042CD">
        <w:rPr>
          <w:rFonts w:ascii="Calibri" w:hAnsi="Calibri" w:cs="Calibri"/>
          <w:noProof/>
        </w:rPr>
        <w:t xml:space="preserve">Storteboom, H., Arabi, M., Davis, J., Crimi, B., &amp; A, P. (2010). Tracking Antibiotic Resistance Genes in the South Platte River Basin Using Molecular Signatures of Urban , Agricultural , And Pristine Sources. </w:t>
      </w:r>
      <w:r w:rsidRPr="006042CD">
        <w:rPr>
          <w:rFonts w:ascii="Calibri" w:hAnsi="Calibri" w:cs="Calibri"/>
          <w:i/>
          <w:iCs/>
          <w:noProof/>
        </w:rPr>
        <w:t>Environmental Science &amp; Technology</w:t>
      </w:r>
      <w:r w:rsidRPr="006042CD">
        <w:rPr>
          <w:rFonts w:ascii="Calibri" w:hAnsi="Calibri" w:cs="Calibri"/>
          <w:noProof/>
        </w:rPr>
        <w:t xml:space="preserve">, </w:t>
      </w:r>
      <w:r w:rsidRPr="006042CD">
        <w:rPr>
          <w:rFonts w:ascii="Calibri" w:hAnsi="Calibri" w:cs="Calibri"/>
          <w:i/>
          <w:iCs/>
          <w:noProof/>
        </w:rPr>
        <w:t>44</w:t>
      </w:r>
      <w:r w:rsidRPr="006042CD">
        <w:rPr>
          <w:rFonts w:ascii="Calibri" w:hAnsi="Calibri" w:cs="Calibri"/>
          <w:noProof/>
        </w:rPr>
        <w:t>, 7397–7404.</w:t>
      </w:r>
    </w:p>
    <w:p w14:paraId="7DA3F615"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Travers, K., &amp; Barza, M. (2002). Morbidity of infections caused by antimicrobial-resistant bacteria. </w:t>
      </w:r>
      <w:r w:rsidRPr="006042CD">
        <w:rPr>
          <w:rFonts w:ascii="Calibri" w:hAnsi="Calibri" w:cs="Calibri"/>
          <w:i/>
          <w:iCs/>
          <w:noProof/>
        </w:rPr>
        <w:t>Clinical Infectious Diseases : An Official Publication of the Infectious Diseases Society of America</w:t>
      </w:r>
      <w:r w:rsidRPr="006042CD">
        <w:rPr>
          <w:rFonts w:ascii="Calibri" w:hAnsi="Calibri" w:cs="Calibri"/>
          <w:noProof/>
        </w:rPr>
        <w:t xml:space="preserve">, </w:t>
      </w:r>
      <w:r w:rsidRPr="006042CD">
        <w:rPr>
          <w:rFonts w:ascii="Calibri" w:hAnsi="Calibri" w:cs="Calibri"/>
          <w:i/>
          <w:iCs/>
          <w:noProof/>
        </w:rPr>
        <w:t>34 Suppl 3</w:t>
      </w:r>
      <w:r w:rsidRPr="006042CD">
        <w:rPr>
          <w:rFonts w:ascii="Calibri" w:hAnsi="Calibri" w:cs="Calibri"/>
          <w:noProof/>
        </w:rPr>
        <w:t>(Suppl 3), S131–S134. https://doi.org/10.1086/340251</w:t>
      </w:r>
    </w:p>
    <w:p w14:paraId="16247D04"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Woolhouse, M., &amp; Farrar, J. (2014). An intergovernmental panel on antimicrobial resistance. </w:t>
      </w:r>
      <w:r w:rsidRPr="006042CD">
        <w:rPr>
          <w:rFonts w:ascii="Calibri" w:hAnsi="Calibri" w:cs="Calibri"/>
          <w:i/>
          <w:iCs/>
          <w:noProof/>
        </w:rPr>
        <w:t>Nature</w:t>
      </w:r>
      <w:r w:rsidRPr="006042CD">
        <w:rPr>
          <w:rFonts w:ascii="Calibri" w:hAnsi="Calibri" w:cs="Calibri"/>
          <w:noProof/>
        </w:rPr>
        <w:t xml:space="preserve">, </w:t>
      </w:r>
      <w:r w:rsidRPr="006042CD">
        <w:rPr>
          <w:rFonts w:ascii="Calibri" w:hAnsi="Calibri" w:cs="Calibri"/>
          <w:i/>
          <w:iCs/>
          <w:noProof/>
        </w:rPr>
        <w:t>509</w:t>
      </w:r>
      <w:r w:rsidRPr="006042CD">
        <w:rPr>
          <w:rFonts w:ascii="Calibri" w:hAnsi="Calibri" w:cs="Calibri"/>
          <w:noProof/>
        </w:rPr>
        <w:t>, 5–7.</w:t>
      </w:r>
    </w:p>
    <w:p w14:paraId="10DCBFD3" w14:textId="77777777" w:rsidR="006042CD" w:rsidRPr="006042CD" w:rsidRDefault="006042CD" w:rsidP="006042CD">
      <w:pPr>
        <w:widowControl w:val="0"/>
        <w:autoSpaceDE w:val="0"/>
        <w:autoSpaceDN w:val="0"/>
        <w:adjustRightInd w:val="0"/>
        <w:ind w:left="480" w:hanging="480"/>
        <w:rPr>
          <w:rFonts w:ascii="Calibri" w:hAnsi="Calibri" w:cs="Calibri"/>
          <w:noProof/>
        </w:rPr>
      </w:pPr>
      <w:r w:rsidRPr="006042CD">
        <w:rPr>
          <w:rFonts w:ascii="Calibri" w:hAnsi="Calibri" w:cs="Calibri"/>
          <w:noProof/>
        </w:rPr>
        <w:t xml:space="preserve">Yang, J., Wang, C., Shu, C., Liu, L., Geng, J., Hu, S., &amp; Feng, J. (2013). Marine sediment bacteria harbor antibiotic resistance genes highly similar to those found in human pathogens. </w:t>
      </w:r>
      <w:r w:rsidRPr="006042CD">
        <w:rPr>
          <w:rFonts w:ascii="Calibri" w:hAnsi="Calibri" w:cs="Calibri"/>
          <w:i/>
          <w:iCs/>
          <w:noProof/>
        </w:rPr>
        <w:t>Microbial Ecology</w:t>
      </w:r>
      <w:r w:rsidRPr="006042CD">
        <w:rPr>
          <w:rFonts w:ascii="Calibri" w:hAnsi="Calibri" w:cs="Calibri"/>
          <w:noProof/>
        </w:rPr>
        <w:t xml:space="preserve">, </w:t>
      </w:r>
      <w:r w:rsidRPr="006042CD">
        <w:rPr>
          <w:rFonts w:ascii="Calibri" w:hAnsi="Calibri" w:cs="Calibri"/>
          <w:i/>
          <w:iCs/>
          <w:noProof/>
        </w:rPr>
        <w:t>65</w:t>
      </w:r>
      <w:r w:rsidRPr="006042CD">
        <w:rPr>
          <w:rFonts w:ascii="Calibri" w:hAnsi="Calibri" w:cs="Calibri"/>
          <w:noProof/>
        </w:rPr>
        <w:t>(4), 975–981. https://doi.org/10.1007/s00248-013-0187-2</w:t>
      </w:r>
    </w:p>
    <w:p w14:paraId="09CC4823" w14:textId="1188155B" w:rsidR="007B27E9" w:rsidRPr="006042CD" w:rsidRDefault="00E8417D" w:rsidP="006042CD">
      <w:pPr>
        <w:widowControl w:val="0"/>
        <w:autoSpaceDE w:val="0"/>
        <w:autoSpaceDN w:val="0"/>
        <w:adjustRightInd w:val="0"/>
        <w:rPr>
          <w:rFonts w:ascii="Calibri" w:hAnsi="Calibri" w:cs="Times New Roman"/>
          <w:color w:val="101010"/>
        </w:rPr>
      </w:pPr>
      <w:r w:rsidRPr="00906434">
        <w:rPr>
          <w:rFonts w:ascii="Calibri" w:eastAsia="Times New Roman" w:hAnsi="Calibri" w:cs="Times New Roman"/>
        </w:rPr>
        <w:fldChar w:fldCharType="end"/>
      </w:r>
    </w:p>
    <w:p w14:paraId="5CE2ECC1" w14:textId="1409C6A0" w:rsidR="007B27E9" w:rsidRPr="00906434" w:rsidRDefault="007B27E9">
      <w:pPr>
        <w:rPr>
          <w:rFonts w:ascii="Calibri" w:hAnsi="Calibri"/>
        </w:rPr>
      </w:pPr>
    </w:p>
    <w:sectPr w:rsidR="007B27E9" w:rsidRPr="00906434" w:rsidSect="00657321">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B5022" w14:textId="77777777" w:rsidR="003768C7" w:rsidRDefault="003768C7" w:rsidP="00926FF5">
      <w:r>
        <w:separator/>
      </w:r>
    </w:p>
  </w:endnote>
  <w:endnote w:type="continuationSeparator" w:id="0">
    <w:p w14:paraId="4AB35BB6" w14:textId="77777777" w:rsidR="003768C7" w:rsidRDefault="003768C7" w:rsidP="0092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451666"/>
      <w:docPartObj>
        <w:docPartGallery w:val="Page Numbers (Bottom of Page)"/>
        <w:docPartUnique/>
      </w:docPartObj>
    </w:sdtPr>
    <w:sdtEndPr>
      <w:rPr>
        <w:noProof/>
      </w:rPr>
    </w:sdtEndPr>
    <w:sdtContent>
      <w:p w14:paraId="25B2A0AF" w14:textId="13CD9519" w:rsidR="00454000" w:rsidRDefault="00454000">
        <w:pPr>
          <w:pStyle w:val="Footer"/>
          <w:jc w:val="right"/>
        </w:pPr>
        <w:r>
          <w:fldChar w:fldCharType="begin"/>
        </w:r>
        <w:r>
          <w:instrText xml:space="preserve"> PAGE   \* MERGEFORMAT </w:instrText>
        </w:r>
        <w:r>
          <w:fldChar w:fldCharType="separate"/>
        </w:r>
        <w:r w:rsidR="00906434">
          <w:rPr>
            <w:noProof/>
          </w:rPr>
          <w:t>1</w:t>
        </w:r>
        <w:r>
          <w:rPr>
            <w:noProof/>
          </w:rPr>
          <w:fldChar w:fldCharType="end"/>
        </w:r>
      </w:p>
    </w:sdtContent>
  </w:sdt>
  <w:p w14:paraId="1CE527F9" w14:textId="77777777" w:rsidR="00454000" w:rsidRDefault="00454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47B98" w14:textId="77777777" w:rsidR="003768C7" w:rsidRDefault="003768C7" w:rsidP="00926FF5">
      <w:r>
        <w:separator/>
      </w:r>
    </w:p>
  </w:footnote>
  <w:footnote w:type="continuationSeparator" w:id="0">
    <w:p w14:paraId="15C2F07F" w14:textId="77777777" w:rsidR="003768C7" w:rsidRDefault="003768C7" w:rsidP="00926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555A1C"/>
    <w:multiLevelType w:val="hybridMultilevel"/>
    <w:tmpl w:val="762A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4125B5"/>
    <w:multiLevelType w:val="hybridMultilevel"/>
    <w:tmpl w:val="870C4D4E"/>
    <w:lvl w:ilvl="0" w:tplc="3A32F53E">
      <w:start w:val="1"/>
      <w:numFmt w:val="bullet"/>
      <w:lvlText w:val="o"/>
      <w:lvlJc w:val="left"/>
      <w:pPr>
        <w:tabs>
          <w:tab w:val="num" w:pos="720"/>
        </w:tabs>
        <w:ind w:left="720" w:hanging="360"/>
      </w:pPr>
      <w:rPr>
        <w:rFonts w:ascii="Courier New" w:hAnsi="Courier New" w:hint="default"/>
      </w:rPr>
    </w:lvl>
    <w:lvl w:ilvl="1" w:tplc="019E8948" w:tentative="1">
      <w:start w:val="1"/>
      <w:numFmt w:val="bullet"/>
      <w:lvlText w:val="o"/>
      <w:lvlJc w:val="left"/>
      <w:pPr>
        <w:tabs>
          <w:tab w:val="num" w:pos="1440"/>
        </w:tabs>
        <w:ind w:left="1440" w:hanging="360"/>
      </w:pPr>
      <w:rPr>
        <w:rFonts w:ascii="Courier New" w:hAnsi="Courier New" w:hint="default"/>
      </w:rPr>
    </w:lvl>
    <w:lvl w:ilvl="2" w:tplc="FE603B76" w:tentative="1">
      <w:start w:val="1"/>
      <w:numFmt w:val="bullet"/>
      <w:lvlText w:val="o"/>
      <w:lvlJc w:val="left"/>
      <w:pPr>
        <w:tabs>
          <w:tab w:val="num" w:pos="2160"/>
        </w:tabs>
        <w:ind w:left="2160" w:hanging="360"/>
      </w:pPr>
      <w:rPr>
        <w:rFonts w:ascii="Courier New" w:hAnsi="Courier New" w:hint="default"/>
      </w:rPr>
    </w:lvl>
    <w:lvl w:ilvl="3" w:tplc="89B2F062" w:tentative="1">
      <w:start w:val="1"/>
      <w:numFmt w:val="bullet"/>
      <w:lvlText w:val="o"/>
      <w:lvlJc w:val="left"/>
      <w:pPr>
        <w:tabs>
          <w:tab w:val="num" w:pos="2880"/>
        </w:tabs>
        <w:ind w:left="2880" w:hanging="360"/>
      </w:pPr>
      <w:rPr>
        <w:rFonts w:ascii="Courier New" w:hAnsi="Courier New" w:hint="default"/>
      </w:rPr>
    </w:lvl>
    <w:lvl w:ilvl="4" w:tplc="7A28C7F6" w:tentative="1">
      <w:start w:val="1"/>
      <w:numFmt w:val="bullet"/>
      <w:lvlText w:val="o"/>
      <w:lvlJc w:val="left"/>
      <w:pPr>
        <w:tabs>
          <w:tab w:val="num" w:pos="3600"/>
        </w:tabs>
        <w:ind w:left="3600" w:hanging="360"/>
      </w:pPr>
      <w:rPr>
        <w:rFonts w:ascii="Courier New" w:hAnsi="Courier New" w:hint="default"/>
      </w:rPr>
    </w:lvl>
    <w:lvl w:ilvl="5" w:tplc="AEB02EA6" w:tentative="1">
      <w:start w:val="1"/>
      <w:numFmt w:val="bullet"/>
      <w:lvlText w:val="o"/>
      <w:lvlJc w:val="left"/>
      <w:pPr>
        <w:tabs>
          <w:tab w:val="num" w:pos="4320"/>
        </w:tabs>
        <w:ind w:left="4320" w:hanging="360"/>
      </w:pPr>
      <w:rPr>
        <w:rFonts w:ascii="Courier New" w:hAnsi="Courier New" w:hint="default"/>
      </w:rPr>
    </w:lvl>
    <w:lvl w:ilvl="6" w:tplc="05EA55F6" w:tentative="1">
      <w:start w:val="1"/>
      <w:numFmt w:val="bullet"/>
      <w:lvlText w:val="o"/>
      <w:lvlJc w:val="left"/>
      <w:pPr>
        <w:tabs>
          <w:tab w:val="num" w:pos="5040"/>
        </w:tabs>
        <w:ind w:left="5040" w:hanging="360"/>
      </w:pPr>
      <w:rPr>
        <w:rFonts w:ascii="Courier New" w:hAnsi="Courier New" w:hint="default"/>
      </w:rPr>
    </w:lvl>
    <w:lvl w:ilvl="7" w:tplc="31747B2E" w:tentative="1">
      <w:start w:val="1"/>
      <w:numFmt w:val="bullet"/>
      <w:lvlText w:val="o"/>
      <w:lvlJc w:val="left"/>
      <w:pPr>
        <w:tabs>
          <w:tab w:val="num" w:pos="5760"/>
        </w:tabs>
        <w:ind w:left="5760" w:hanging="360"/>
      </w:pPr>
      <w:rPr>
        <w:rFonts w:ascii="Courier New" w:hAnsi="Courier New" w:hint="default"/>
      </w:rPr>
    </w:lvl>
    <w:lvl w:ilvl="8" w:tplc="3A2E5C0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6855627B"/>
    <w:multiLevelType w:val="hybridMultilevel"/>
    <w:tmpl w:val="AB962254"/>
    <w:lvl w:ilvl="0" w:tplc="398AF134">
      <w:start w:val="1"/>
      <w:numFmt w:val="bullet"/>
      <w:lvlText w:val="o"/>
      <w:lvlJc w:val="left"/>
      <w:pPr>
        <w:tabs>
          <w:tab w:val="num" w:pos="720"/>
        </w:tabs>
        <w:ind w:left="720" w:hanging="360"/>
      </w:pPr>
      <w:rPr>
        <w:rFonts w:ascii="Courier New" w:hAnsi="Courier New" w:hint="default"/>
      </w:rPr>
    </w:lvl>
    <w:lvl w:ilvl="1" w:tplc="E6140A42" w:tentative="1">
      <w:start w:val="1"/>
      <w:numFmt w:val="bullet"/>
      <w:lvlText w:val="o"/>
      <w:lvlJc w:val="left"/>
      <w:pPr>
        <w:tabs>
          <w:tab w:val="num" w:pos="1440"/>
        </w:tabs>
        <w:ind w:left="1440" w:hanging="360"/>
      </w:pPr>
      <w:rPr>
        <w:rFonts w:ascii="Courier New" w:hAnsi="Courier New" w:hint="default"/>
      </w:rPr>
    </w:lvl>
    <w:lvl w:ilvl="2" w:tplc="BFA4945A" w:tentative="1">
      <w:start w:val="1"/>
      <w:numFmt w:val="bullet"/>
      <w:lvlText w:val="o"/>
      <w:lvlJc w:val="left"/>
      <w:pPr>
        <w:tabs>
          <w:tab w:val="num" w:pos="2160"/>
        </w:tabs>
        <w:ind w:left="2160" w:hanging="360"/>
      </w:pPr>
      <w:rPr>
        <w:rFonts w:ascii="Courier New" w:hAnsi="Courier New" w:hint="default"/>
      </w:rPr>
    </w:lvl>
    <w:lvl w:ilvl="3" w:tplc="D4E85798" w:tentative="1">
      <w:start w:val="1"/>
      <w:numFmt w:val="bullet"/>
      <w:lvlText w:val="o"/>
      <w:lvlJc w:val="left"/>
      <w:pPr>
        <w:tabs>
          <w:tab w:val="num" w:pos="2880"/>
        </w:tabs>
        <w:ind w:left="2880" w:hanging="360"/>
      </w:pPr>
      <w:rPr>
        <w:rFonts w:ascii="Courier New" w:hAnsi="Courier New" w:hint="default"/>
      </w:rPr>
    </w:lvl>
    <w:lvl w:ilvl="4" w:tplc="E64A2EDC" w:tentative="1">
      <w:start w:val="1"/>
      <w:numFmt w:val="bullet"/>
      <w:lvlText w:val="o"/>
      <w:lvlJc w:val="left"/>
      <w:pPr>
        <w:tabs>
          <w:tab w:val="num" w:pos="3600"/>
        </w:tabs>
        <w:ind w:left="3600" w:hanging="360"/>
      </w:pPr>
      <w:rPr>
        <w:rFonts w:ascii="Courier New" w:hAnsi="Courier New" w:hint="default"/>
      </w:rPr>
    </w:lvl>
    <w:lvl w:ilvl="5" w:tplc="20D63B0E" w:tentative="1">
      <w:start w:val="1"/>
      <w:numFmt w:val="bullet"/>
      <w:lvlText w:val="o"/>
      <w:lvlJc w:val="left"/>
      <w:pPr>
        <w:tabs>
          <w:tab w:val="num" w:pos="4320"/>
        </w:tabs>
        <w:ind w:left="4320" w:hanging="360"/>
      </w:pPr>
      <w:rPr>
        <w:rFonts w:ascii="Courier New" w:hAnsi="Courier New" w:hint="default"/>
      </w:rPr>
    </w:lvl>
    <w:lvl w:ilvl="6" w:tplc="EBB40C22" w:tentative="1">
      <w:start w:val="1"/>
      <w:numFmt w:val="bullet"/>
      <w:lvlText w:val="o"/>
      <w:lvlJc w:val="left"/>
      <w:pPr>
        <w:tabs>
          <w:tab w:val="num" w:pos="5040"/>
        </w:tabs>
        <w:ind w:left="5040" w:hanging="360"/>
      </w:pPr>
      <w:rPr>
        <w:rFonts w:ascii="Courier New" w:hAnsi="Courier New" w:hint="default"/>
      </w:rPr>
    </w:lvl>
    <w:lvl w:ilvl="7" w:tplc="EE8E4056" w:tentative="1">
      <w:start w:val="1"/>
      <w:numFmt w:val="bullet"/>
      <w:lvlText w:val="o"/>
      <w:lvlJc w:val="left"/>
      <w:pPr>
        <w:tabs>
          <w:tab w:val="num" w:pos="5760"/>
        </w:tabs>
        <w:ind w:left="5760" w:hanging="360"/>
      </w:pPr>
      <w:rPr>
        <w:rFonts w:ascii="Courier New" w:hAnsi="Courier New" w:hint="default"/>
      </w:rPr>
    </w:lvl>
    <w:lvl w:ilvl="8" w:tplc="9D6A9226" w:tentative="1">
      <w:start w:val="1"/>
      <w:numFmt w:val="bullet"/>
      <w:lvlText w:val="o"/>
      <w:lvlJc w:val="left"/>
      <w:pPr>
        <w:tabs>
          <w:tab w:val="num" w:pos="6480"/>
        </w:tabs>
        <w:ind w:left="6480" w:hanging="360"/>
      </w:pPr>
      <w:rPr>
        <w:rFonts w:ascii="Courier New" w:hAnsi="Courier New"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00"/>
    <w:rsid w:val="00061178"/>
    <w:rsid w:val="00074800"/>
    <w:rsid w:val="00081B42"/>
    <w:rsid w:val="000B428D"/>
    <w:rsid w:val="00171135"/>
    <w:rsid w:val="00183600"/>
    <w:rsid w:val="001D0C90"/>
    <w:rsid w:val="001D45F1"/>
    <w:rsid w:val="001F6EA6"/>
    <w:rsid w:val="00250043"/>
    <w:rsid w:val="003768C7"/>
    <w:rsid w:val="00383B4D"/>
    <w:rsid w:val="003967E2"/>
    <w:rsid w:val="00407062"/>
    <w:rsid w:val="004238F7"/>
    <w:rsid w:val="00454000"/>
    <w:rsid w:val="004D67BF"/>
    <w:rsid w:val="005970E6"/>
    <w:rsid w:val="005A1C27"/>
    <w:rsid w:val="005A1DED"/>
    <w:rsid w:val="005A4710"/>
    <w:rsid w:val="005E3236"/>
    <w:rsid w:val="005F1700"/>
    <w:rsid w:val="006042CD"/>
    <w:rsid w:val="00654F08"/>
    <w:rsid w:val="00655FD6"/>
    <w:rsid w:val="00657321"/>
    <w:rsid w:val="00746EB8"/>
    <w:rsid w:val="007B27E9"/>
    <w:rsid w:val="007F0B6F"/>
    <w:rsid w:val="00805DED"/>
    <w:rsid w:val="0086243F"/>
    <w:rsid w:val="008B441B"/>
    <w:rsid w:val="009057CA"/>
    <w:rsid w:val="00906434"/>
    <w:rsid w:val="00926FF5"/>
    <w:rsid w:val="009811A8"/>
    <w:rsid w:val="00981E44"/>
    <w:rsid w:val="009C3A82"/>
    <w:rsid w:val="009D795C"/>
    <w:rsid w:val="00A6477C"/>
    <w:rsid w:val="00A7097C"/>
    <w:rsid w:val="00AA26AF"/>
    <w:rsid w:val="00AC7D04"/>
    <w:rsid w:val="00AE1B80"/>
    <w:rsid w:val="00B56C3F"/>
    <w:rsid w:val="00BA0C3D"/>
    <w:rsid w:val="00BA76F3"/>
    <w:rsid w:val="00BB293C"/>
    <w:rsid w:val="00BD3AED"/>
    <w:rsid w:val="00BF528B"/>
    <w:rsid w:val="00C203CF"/>
    <w:rsid w:val="00C27BAB"/>
    <w:rsid w:val="00C45C65"/>
    <w:rsid w:val="00C67AA1"/>
    <w:rsid w:val="00C72985"/>
    <w:rsid w:val="00C804B8"/>
    <w:rsid w:val="00C95879"/>
    <w:rsid w:val="00CB236C"/>
    <w:rsid w:val="00D84515"/>
    <w:rsid w:val="00D93472"/>
    <w:rsid w:val="00D9668C"/>
    <w:rsid w:val="00DB7DFC"/>
    <w:rsid w:val="00E10D3B"/>
    <w:rsid w:val="00E11F5C"/>
    <w:rsid w:val="00E2408C"/>
    <w:rsid w:val="00E53F5D"/>
    <w:rsid w:val="00E7117C"/>
    <w:rsid w:val="00E8417D"/>
    <w:rsid w:val="00EC196E"/>
    <w:rsid w:val="00F37E11"/>
    <w:rsid w:val="00FC3CF9"/>
    <w:rsid w:val="00FE7AF5"/>
    <w:rsid w:val="00FF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705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5DED"/>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926FF5"/>
    <w:pPr>
      <w:tabs>
        <w:tab w:val="center" w:pos="4680"/>
        <w:tab w:val="right" w:pos="9360"/>
      </w:tabs>
    </w:pPr>
  </w:style>
  <w:style w:type="character" w:customStyle="1" w:styleId="HeaderChar">
    <w:name w:val="Header Char"/>
    <w:basedOn w:val="DefaultParagraphFont"/>
    <w:link w:val="Header"/>
    <w:uiPriority w:val="99"/>
    <w:rsid w:val="00926FF5"/>
  </w:style>
  <w:style w:type="paragraph" w:styleId="Footer">
    <w:name w:val="footer"/>
    <w:basedOn w:val="Normal"/>
    <w:link w:val="FooterChar"/>
    <w:uiPriority w:val="99"/>
    <w:unhideWhenUsed/>
    <w:rsid w:val="00926FF5"/>
    <w:pPr>
      <w:tabs>
        <w:tab w:val="center" w:pos="4680"/>
        <w:tab w:val="right" w:pos="9360"/>
      </w:tabs>
    </w:pPr>
  </w:style>
  <w:style w:type="character" w:customStyle="1" w:styleId="FooterChar">
    <w:name w:val="Footer Char"/>
    <w:basedOn w:val="DefaultParagraphFont"/>
    <w:link w:val="Footer"/>
    <w:uiPriority w:val="99"/>
    <w:rsid w:val="00926FF5"/>
  </w:style>
  <w:style w:type="paragraph" w:styleId="ListParagraph">
    <w:name w:val="List Paragraph"/>
    <w:basedOn w:val="Normal"/>
    <w:uiPriority w:val="34"/>
    <w:qFormat/>
    <w:rsid w:val="00454000"/>
    <w:pPr>
      <w:ind w:left="720"/>
      <w:contextualSpacing/>
    </w:pPr>
  </w:style>
  <w:style w:type="paragraph" w:styleId="BalloonText">
    <w:name w:val="Balloon Text"/>
    <w:basedOn w:val="Normal"/>
    <w:link w:val="BalloonTextChar"/>
    <w:uiPriority w:val="99"/>
    <w:semiHidden/>
    <w:unhideWhenUsed/>
    <w:rsid w:val="00BA76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76F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824">
      <w:bodyDiv w:val="1"/>
      <w:marLeft w:val="0"/>
      <w:marRight w:val="0"/>
      <w:marTop w:val="0"/>
      <w:marBottom w:val="0"/>
      <w:divBdr>
        <w:top w:val="none" w:sz="0" w:space="0" w:color="auto"/>
        <w:left w:val="none" w:sz="0" w:space="0" w:color="auto"/>
        <w:bottom w:val="none" w:sz="0" w:space="0" w:color="auto"/>
        <w:right w:val="none" w:sz="0" w:space="0" w:color="auto"/>
      </w:divBdr>
      <w:divsChild>
        <w:div w:id="1092240135">
          <w:marLeft w:val="720"/>
          <w:marRight w:val="0"/>
          <w:marTop w:val="0"/>
          <w:marBottom w:val="0"/>
          <w:divBdr>
            <w:top w:val="none" w:sz="0" w:space="0" w:color="auto"/>
            <w:left w:val="none" w:sz="0" w:space="0" w:color="auto"/>
            <w:bottom w:val="none" w:sz="0" w:space="0" w:color="auto"/>
            <w:right w:val="none" w:sz="0" w:space="0" w:color="auto"/>
          </w:divBdr>
        </w:div>
        <w:div w:id="656151176">
          <w:marLeft w:val="720"/>
          <w:marRight w:val="0"/>
          <w:marTop w:val="0"/>
          <w:marBottom w:val="0"/>
          <w:divBdr>
            <w:top w:val="none" w:sz="0" w:space="0" w:color="auto"/>
            <w:left w:val="none" w:sz="0" w:space="0" w:color="auto"/>
            <w:bottom w:val="none" w:sz="0" w:space="0" w:color="auto"/>
            <w:right w:val="none" w:sz="0" w:space="0" w:color="auto"/>
          </w:divBdr>
        </w:div>
        <w:div w:id="117069613">
          <w:marLeft w:val="720"/>
          <w:marRight w:val="0"/>
          <w:marTop w:val="0"/>
          <w:marBottom w:val="0"/>
          <w:divBdr>
            <w:top w:val="none" w:sz="0" w:space="0" w:color="auto"/>
            <w:left w:val="none" w:sz="0" w:space="0" w:color="auto"/>
            <w:bottom w:val="none" w:sz="0" w:space="0" w:color="auto"/>
            <w:right w:val="none" w:sz="0" w:space="0" w:color="auto"/>
          </w:divBdr>
        </w:div>
      </w:divsChild>
    </w:div>
    <w:div w:id="389039142">
      <w:bodyDiv w:val="1"/>
      <w:marLeft w:val="0"/>
      <w:marRight w:val="0"/>
      <w:marTop w:val="0"/>
      <w:marBottom w:val="0"/>
      <w:divBdr>
        <w:top w:val="none" w:sz="0" w:space="0" w:color="auto"/>
        <w:left w:val="none" w:sz="0" w:space="0" w:color="auto"/>
        <w:bottom w:val="none" w:sz="0" w:space="0" w:color="auto"/>
        <w:right w:val="none" w:sz="0" w:space="0" w:color="auto"/>
      </w:divBdr>
      <w:divsChild>
        <w:div w:id="1176117228">
          <w:marLeft w:val="720"/>
          <w:marRight w:val="0"/>
          <w:marTop w:val="0"/>
          <w:marBottom w:val="0"/>
          <w:divBdr>
            <w:top w:val="none" w:sz="0" w:space="0" w:color="auto"/>
            <w:left w:val="none" w:sz="0" w:space="0" w:color="auto"/>
            <w:bottom w:val="none" w:sz="0" w:space="0" w:color="auto"/>
            <w:right w:val="none" w:sz="0" w:space="0" w:color="auto"/>
          </w:divBdr>
        </w:div>
        <w:div w:id="1336573112">
          <w:marLeft w:val="720"/>
          <w:marRight w:val="0"/>
          <w:marTop w:val="0"/>
          <w:marBottom w:val="0"/>
          <w:divBdr>
            <w:top w:val="none" w:sz="0" w:space="0" w:color="auto"/>
            <w:left w:val="none" w:sz="0" w:space="0" w:color="auto"/>
            <w:bottom w:val="none" w:sz="0" w:space="0" w:color="auto"/>
            <w:right w:val="none" w:sz="0" w:space="0" w:color="auto"/>
          </w:divBdr>
        </w:div>
        <w:div w:id="1246915382">
          <w:marLeft w:val="720"/>
          <w:marRight w:val="0"/>
          <w:marTop w:val="0"/>
          <w:marBottom w:val="0"/>
          <w:divBdr>
            <w:top w:val="none" w:sz="0" w:space="0" w:color="auto"/>
            <w:left w:val="none" w:sz="0" w:space="0" w:color="auto"/>
            <w:bottom w:val="none" w:sz="0" w:space="0" w:color="auto"/>
            <w:right w:val="none" w:sz="0" w:space="0" w:color="auto"/>
          </w:divBdr>
        </w:div>
      </w:divsChild>
    </w:div>
    <w:div w:id="845366504">
      <w:bodyDiv w:val="1"/>
      <w:marLeft w:val="0"/>
      <w:marRight w:val="0"/>
      <w:marTop w:val="0"/>
      <w:marBottom w:val="0"/>
      <w:divBdr>
        <w:top w:val="none" w:sz="0" w:space="0" w:color="auto"/>
        <w:left w:val="none" w:sz="0" w:space="0" w:color="auto"/>
        <w:bottom w:val="none" w:sz="0" w:space="0" w:color="auto"/>
        <w:right w:val="none" w:sz="0" w:space="0" w:color="auto"/>
      </w:divBdr>
    </w:div>
    <w:div w:id="1239485331">
      <w:bodyDiv w:val="1"/>
      <w:marLeft w:val="0"/>
      <w:marRight w:val="0"/>
      <w:marTop w:val="0"/>
      <w:marBottom w:val="0"/>
      <w:divBdr>
        <w:top w:val="none" w:sz="0" w:space="0" w:color="auto"/>
        <w:left w:val="none" w:sz="0" w:space="0" w:color="auto"/>
        <w:bottom w:val="none" w:sz="0" w:space="0" w:color="auto"/>
        <w:right w:val="none" w:sz="0" w:space="0" w:color="auto"/>
      </w:divBdr>
    </w:div>
    <w:div w:id="2089886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riseche:Library:Mobile%20Documents:com~apple~CloudDocs:Jaylab:Regional%20Study:Regional%20Data:Data%20organized%20by%20compart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riseche:Library:Mobile%20Documents:com~apple~CloudDocs:Jaylab:Regional%20Study:Regional%20Data:Data%20organized%20by%20compart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riseche:Library:Mobile%20Documents:com~apple~CloudDocs:Jaylab:Regional%20Study:Regional%20Data:Data%20organized%20by%20compart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770078740157501"/>
          <c:y val="0.119287475939965"/>
          <c:w val="0.78031229557843695"/>
          <c:h val="0.71843232263078205"/>
        </c:manualLayout>
      </c:layout>
      <c:barChart>
        <c:barDir val="col"/>
        <c:grouping val="clustered"/>
        <c:varyColors val="0"/>
        <c:ser>
          <c:idx val="0"/>
          <c:order val="0"/>
          <c:tx>
            <c:v>Park 1</c:v>
          </c:tx>
          <c:spPr>
            <a:solidFill>
              <a:schemeClr val="accent1"/>
            </a:solidFill>
            <a:ln w="12700" cap="flat">
              <a:solidFill>
                <a:schemeClr val="accent1"/>
              </a:solidFill>
              <a:miter lim="400000"/>
            </a:ln>
            <a:effectLst/>
          </c:spPr>
          <c:invertIfNegative val="0"/>
          <c:errBars>
            <c:errBarType val="both"/>
            <c:errValType val="cust"/>
            <c:noEndCap val="0"/>
            <c:plus>
              <c:numRef>
                <c:f>([2]blaSHV!$M$9,[2]blaSHV!$M$32,[2]blaSHV!$M$55,[2]blaSHV!$M$78)</c:f>
                <c:numCache>
                  <c:formatCode>General</c:formatCode>
                  <c:ptCount val="4"/>
                  <c:pt idx="0">
                    <c:v>2172.7077067841942</c:v>
                  </c:pt>
                  <c:pt idx="1">
                    <c:v>43216.532734886037</c:v>
                  </c:pt>
                  <c:pt idx="2">
                    <c:v>925110.5937270954</c:v>
                  </c:pt>
                  <c:pt idx="3">
                    <c:v>757.33368350156195</c:v>
                  </c:pt>
                </c:numCache>
              </c:numRef>
            </c:plus>
            <c:minus>
              <c:numRef>
                <c:f>([2]blaSHV!$M$9,[2]blaSHV!$M$32,[2]blaSHV!$M$55,[2]blaSHV!$M$78)</c:f>
                <c:numCache>
                  <c:formatCode>General</c:formatCode>
                  <c:ptCount val="4"/>
                  <c:pt idx="0">
                    <c:v>2172.7077067841942</c:v>
                  </c:pt>
                  <c:pt idx="1">
                    <c:v>43216.532734886037</c:v>
                  </c:pt>
                  <c:pt idx="2">
                    <c:v>925110.5937270954</c:v>
                  </c:pt>
                  <c:pt idx="3">
                    <c:v>757.33368350156195</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([2]blaSHV!$K$9,[2]blaSHV!$K$32,[2]blaSHV!$K$55,[2]blaSHV!$K$78)</c:f>
              <c:numCache>
                <c:formatCode>General</c:formatCode>
                <c:ptCount val="4"/>
                <c:pt idx="0">
                  <c:v>2095.3455688556041</c:v>
                </c:pt>
                <c:pt idx="1">
                  <c:v>76644.705169677705</c:v>
                </c:pt>
                <c:pt idx="2">
                  <c:v>2996298.48</c:v>
                </c:pt>
                <c:pt idx="3">
                  <c:v>1171.7142712175839</c:v>
                </c:pt>
              </c:numCache>
            </c:numRef>
          </c:val>
          <c:extLst>
            <c:ext xmlns:c16="http://schemas.microsoft.com/office/drawing/2014/chart" uri="{C3380CC4-5D6E-409C-BE32-E72D297353CC}">
              <c16:uniqueId val="{00000000-471D-4CE1-AE7E-8135BFF8462A}"/>
            </c:ext>
          </c:extLst>
        </c:ser>
        <c:ser>
          <c:idx val="1"/>
          <c:order val="1"/>
          <c:tx>
            <c:v>Site 1.2</c:v>
          </c:tx>
          <c:spPr>
            <a:solidFill>
              <a:schemeClr val="accent1"/>
            </a:solidFill>
            <a:ln w="12700" cap="flat">
              <a:noFill/>
              <a:miter lim="400000"/>
            </a:ln>
            <a:effectLst/>
          </c:spPr>
          <c:invertIfNegative val="0"/>
          <c:errBars>
            <c:errBarType val="both"/>
            <c:errValType val="cust"/>
            <c:noEndCap val="0"/>
            <c:plus>
              <c:numRef>
                <c:f>([2]blaSHV!$M$10,[2]blaSHV!$M$33,[2]blaSHV!$M$56,[2]blaSHV!$M$79)</c:f>
                <c:numCache>
                  <c:formatCode>General</c:formatCode>
                  <c:ptCount val="4"/>
                  <c:pt idx="0">
                    <c:v>70.396871569994417</c:v>
                  </c:pt>
                  <c:pt idx="1">
                    <c:v>41296.193549175878</c:v>
                  </c:pt>
                  <c:pt idx="2">
                    <c:v>854982.47009925102</c:v>
                  </c:pt>
                  <c:pt idx="3">
                    <c:v>209.59772928741029</c:v>
                  </c:pt>
                </c:numCache>
              </c:numRef>
            </c:plus>
            <c:minus>
              <c:numRef>
                <c:f>([2]blaSHV!$M$10,[2]blaSHV!$M$33,[2]blaSHV!$M$56,[2]blaSHV!$M$79)</c:f>
                <c:numCache>
                  <c:formatCode>General</c:formatCode>
                  <c:ptCount val="4"/>
                  <c:pt idx="0">
                    <c:v>70.396871569994417</c:v>
                  </c:pt>
                  <c:pt idx="1">
                    <c:v>41296.193549175878</c:v>
                  </c:pt>
                  <c:pt idx="2">
                    <c:v>854982.47009925102</c:v>
                  </c:pt>
                  <c:pt idx="3">
                    <c:v>209.59772928741029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([2]blaSHV!$K$10,[2]blaSHV!$K$33,[2]blaSHV!$K$56,[2]blaSHV!$K$79)</c:f>
              <c:numCache>
                <c:formatCode>General</c:formatCode>
                <c:ptCount val="4"/>
                <c:pt idx="0">
                  <c:v>371.04832565784449</c:v>
                </c:pt>
                <c:pt idx="1">
                  <c:v>89567.489859263078</c:v>
                </c:pt>
                <c:pt idx="2">
                  <c:v>1976436.5333333299</c:v>
                </c:pt>
                <c:pt idx="3">
                  <c:v>176.3264972462008</c:v>
                </c:pt>
              </c:numCache>
            </c:numRef>
          </c:val>
          <c:extLst>
            <c:ext xmlns:c16="http://schemas.microsoft.com/office/drawing/2014/chart" uri="{C3380CC4-5D6E-409C-BE32-E72D297353CC}">
              <c16:uniqueId val="{00000001-471D-4CE1-AE7E-8135BFF8462A}"/>
            </c:ext>
          </c:extLst>
        </c:ser>
        <c:ser>
          <c:idx val="2"/>
          <c:order val="2"/>
          <c:tx>
            <c:v>Site 1.3</c:v>
          </c:tx>
          <c:spPr>
            <a:solidFill>
              <a:schemeClr val="accent1"/>
            </a:solidFill>
            <a:ln w="12700" cap="flat">
              <a:noFill/>
              <a:miter lim="400000"/>
            </a:ln>
            <a:effectLst/>
          </c:spPr>
          <c:invertIfNegative val="0"/>
          <c:errBars>
            <c:errBarType val="both"/>
            <c:errValType val="cust"/>
            <c:noEndCap val="0"/>
            <c:plus>
              <c:numRef>
                <c:f>([2]blaSHV!$M$11,[2]blaSHV!$M$34,[2]blaSHV!$M$57,[2]blaSHV!$M$80)</c:f>
                <c:numCache>
                  <c:formatCode>General</c:formatCode>
                  <c:ptCount val="4"/>
                  <c:pt idx="0">
                    <c:v>172.176234884812</c:v>
                  </c:pt>
                  <c:pt idx="1">
                    <c:v>6570.8286789784124</c:v>
                  </c:pt>
                  <c:pt idx="2">
                    <c:v>96070.800000000076</c:v>
                  </c:pt>
                  <c:pt idx="3">
                    <c:v>72.271712254603017</c:v>
                  </c:pt>
                </c:numCache>
              </c:numRef>
            </c:plus>
            <c:minus>
              <c:numRef>
                <c:f>([2]blaSHV!$M$11,[2]blaSHV!$M$34,[2]blaSHV!$M$57,[2]blaSHV!$M$80)</c:f>
                <c:numCache>
                  <c:formatCode>General</c:formatCode>
                  <c:ptCount val="4"/>
                  <c:pt idx="0">
                    <c:v>172.176234884812</c:v>
                  </c:pt>
                  <c:pt idx="1">
                    <c:v>6570.8286789784124</c:v>
                  </c:pt>
                  <c:pt idx="2">
                    <c:v>96070.800000000076</c:v>
                  </c:pt>
                  <c:pt idx="3">
                    <c:v>72.271712254603017</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([2]blaSHV!$K$11,[2]blaSHV!$K$34,[2]blaSHV!$K$57,[2]blaSHV!$K$80)</c:f>
              <c:numCache>
                <c:formatCode>General</c:formatCode>
                <c:ptCount val="4"/>
                <c:pt idx="0">
                  <c:v>203.09586692601439</c:v>
                </c:pt>
                <c:pt idx="1">
                  <c:v>44409.245023727402</c:v>
                </c:pt>
                <c:pt idx="2">
                  <c:v>508729.2</c:v>
                </c:pt>
                <c:pt idx="3">
                  <c:v>135.98366768409809</c:v>
                </c:pt>
              </c:numCache>
            </c:numRef>
          </c:val>
          <c:extLst>
            <c:ext xmlns:c16="http://schemas.microsoft.com/office/drawing/2014/chart" uri="{C3380CC4-5D6E-409C-BE32-E72D297353CC}">
              <c16:uniqueId val="{00000002-471D-4CE1-AE7E-8135BFF8462A}"/>
            </c:ext>
          </c:extLst>
        </c:ser>
        <c:ser>
          <c:idx val="3"/>
          <c:order val="3"/>
          <c:tx>
            <c:v>Park 2</c:v>
          </c:tx>
          <c:spPr>
            <a:solidFill>
              <a:schemeClr val="accent2"/>
            </a:solidFill>
            <a:ln w="12700" cap="flat">
              <a:solidFill>
                <a:schemeClr val="accent2"/>
              </a:solidFill>
              <a:miter lim="400000"/>
            </a:ln>
            <a:effectLst/>
          </c:spPr>
          <c:invertIfNegative val="0"/>
          <c:errBars>
            <c:errBarType val="both"/>
            <c:errValType val="cust"/>
            <c:noEndCap val="0"/>
            <c:plus>
              <c:numRef>
                <c:f>([2]blaSHV!$M$12,[2]blaSHV!$M$35,[2]blaSHV!$M$58,[2]blaSHV!$M$81)</c:f>
                <c:numCache>
                  <c:formatCode>General</c:formatCode>
                  <c:ptCount val="4"/>
                  <c:pt idx="0">
                    <c:v>110.4078090708318</c:v>
                  </c:pt>
                  <c:pt idx="1">
                    <c:v>20384.19065138821</c:v>
                  </c:pt>
                  <c:pt idx="2">
                    <c:v>2152065.9329585698</c:v>
                  </c:pt>
                  <c:pt idx="3">
                    <c:v>225.7429071746889</c:v>
                  </c:pt>
                </c:numCache>
              </c:numRef>
            </c:plus>
            <c:minus>
              <c:numRef>
                <c:f>([2]blaSHV!$M$12,[2]blaSHV!$M$35,[2]blaSHV!$M$58,[2]blaSHV!$M$81)</c:f>
                <c:numCache>
                  <c:formatCode>General</c:formatCode>
                  <c:ptCount val="4"/>
                  <c:pt idx="0">
                    <c:v>110.4078090708318</c:v>
                  </c:pt>
                  <c:pt idx="1">
                    <c:v>20384.19065138821</c:v>
                  </c:pt>
                  <c:pt idx="2">
                    <c:v>2152065.9329585698</c:v>
                  </c:pt>
                  <c:pt idx="3">
                    <c:v>225.7429071746889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([2]blaSHV!$K$12,[2]blaSHV!$K$35,[2]blaSHV!$K$58,[2]blaSHV!$K$81)</c:f>
              <c:numCache>
                <c:formatCode>General</c:formatCode>
                <c:ptCount val="4"/>
                <c:pt idx="0">
                  <c:v>907.66979650656367</c:v>
                </c:pt>
                <c:pt idx="1">
                  <c:v>48684.369077682502</c:v>
                </c:pt>
                <c:pt idx="2">
                  <c:v>4431277.5466666697</c:v>
                </c:pt>
                <c:pt idx="3">
                  <c:v>299.77627706527181</c:v>
                </c:pt>
              </c:numCache>
            </c:numRef>
          </c:val>
          <c:extLst>
            <c:ext xmlns:c16="http://schemas.microsoft.com/office/drawing/2014/chart" uri="{C3380CC4-5D6E-409C-BE32-E72D297353CC}">
              <c16:uniqueId val="{00000003-471D-4CE1-AE7E-8135BFF8462A}"/>
            </c:ext>
          </c:extLst>
        </c:ser>
        <c:ser>
          <c:idx val="4"/>
          <c:order val="4"/>
          <c:tx>
            <c:v>Site 2.2</c:v>
          </c:tx>
          <c:spPr>
            <a:solidFill>
              <a:schemeClr val="accent2"/>
            </a:solidFill>
            <a:ln w="12700" cap="flat">
              <a:noFill/>
              <a:miter lim="400000"/>
            </a:ln>
            <a:effectLst/>
          </c:spPr>
          <c:invertIfNegative val="0"/>
          <c:errBars>
            <c:errBarType val="both"/>
            <c:errValType val="cust"/>
            <c:noEndCap val="0"/>
            <c:plus>
              <c:numRef>
                <c:f>([2]blaSHV!$M$13,[2]blaSHV!$M$36,[2]blaSHV!$M$59,[2]blaSHV!$M$82)</c:f>
                <c:numCache>
                  <c:formatCode>General</c:formatCode>
                  <c:ptCount val="4"/>
                  <c:pt idx="0">
                    <c:v>896.45685861808943</c:v>
                  </c:pt>
                  <c:pt idx="1">
                    <c:v>0</c:v>
                  </c:pt>
                  <c:pt idx="2">
                    <c:v>485998.25732272642</c:v>
                  </c:pt>
                  <c:pt idx="3">
                    <c:v>36.2930599134868</c:v>
                  </c:pt>
                </c:numCache>
              </c:numRef>
            </c:plus>
            <c:minus>
              <c:numRef>
                <c:f>([2]blaSHV!$M$13,[2]blaSHV!$M$36,[2]blaSHV!$M$59,[2]blaSHV!$M$82)</c:f>
                <c:numCache>
                  <c:formatCode>General</c:formatCode>
                  <c:ptCount val="4"/>
                  <c:pt idx="0">
                    <c:v>896.45685861808943</c:v>
                  </c:pt>
                  <c:pt idx="1">
                    <c:v>0</c:v>
                  </c:pt>
                  <c:pt idx="2">
                    <c:v>485998.25732272642</c:v>
                  </c:pt>
                  <c:pt idx="3">
                    <c:v>36.2930599134868</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([2]blaSHV!$K$13,[2]blaSHV!$K$36,[2]blaSHV!$K$59,[2]blaSHV!$K$82)</c:f>
              <c:numCache>
                <c:formatCode>General</c:formatCode>
                <c:ptCount val="4"/>
                <c:pt idx="0">
                  <c:v>1581.5257826149459</c:v>
                </c:pt>
                <c:pt idx="1">
                  <c:v>0</c:v>
                </c:pt>
                <c:pt idx="2">
                  <c:v>1191267.09333333</c:v>
                </c:pt>
                <c:pt idx="3">
                  <c:v>563.58722770214013</c:v>
                </c:pt>
              </c:numCache>
            </c:numRef>
          </c:val>
          <c:extLst>
            <c:ext xmlns:c16="http://schemas.microsoft.com/office/drawing/2014/chart" uri="{C3380CC4-5D6E-409C-BE32-E72D297353CC}">
              <c16:uniqueId val="{00000004-471D-4CE1-AE7E-8135BFF8462A}"/>
            </c:ext>
          </c:extLst>
        </c:ser>
        <c:ser>
          <c:idx val="5"/>
          <c:order val="5"/>
          <c:tx>
            <c:v>Site 2.3</c:v>
          </c:tx>
          <c:spPr>
            <a:solidFill>
              <a:schemeClr val="accent2"/>
            </a:solidFill>
            <a:ln w="12700" cap="flat">
              <a:noFill/>
              <a:miter lim="400000"/>
            </a:ln>
            <a:effectLst/>
          </c:spPr>
          <c:invertIfNegative val="0"/>
          <c:errBars>
            <c:errBarType val="both"/>
            <c:errValType val="cust"/>
            <c:noEndCap val="0"/>
            <c:plus>
              <c:numRef>
                <c:f>([2]blaSHV!$M$14,[2]blaSHV!$M$37,[2]blaSHV!$M$60,[2]blaSHV!$M$83)</c:f>
                <c:numCache>
                  <c:formatCode>General</c:formatCode>
                  <c:ptCount val="4"/>
                  <c:pt idx="0">
                    <c:v>955.8895253739903</c:v>
                  </c:pt>
                  <c:pt idx="1">
                    <c:v>26637.152097380171</c:v>
                  </c:pt>
                  <c:pt idx="2">
                    <c:v>502399.62104835379</c:v>
                  </c:pt>
                  <c:pt idx="3">
                    <c:v>597.84475318473994</c:v>
                  </c:pt>
                </c:numCache>
              </c:numRef>
            </c:plus>
            <c:minus>
              <c:numRef>
                <c:f>([2]blaSHV!$M$14,[2]blaSHV!$M$37,[2]blaSHV!$M$60,[2]blaSHV!$M$83)</c:f>
                <c:numCache>
                  <c:formatCode>General</c:formatCode>
                  <c:ptCount val="4"/>
                  <c:pt idx="0">
                    <c:v>955.8895253739903</c:v>
                  </c:pt>
                  <c:pt idx="1">
                    <c:v>26637.152097380171</c:v>
                  </c:pt>
                  <c:pt idx="2">
                    <c:v>502399.62104835379</c:v>
                  </c:pt>
                  <c:pt idx="3">
                    <c:v>597.84475318473994</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([2]blaSHV!$K$14,[2]blaSHV!$K$37,[2]blaSHV!$K$60,[2]blaSHV!$K$83)</c:f>
              <c:numCache>
                <c:formatCode>General</c:formatCode>
                <c:ptCount val="4"/>
                <c:pt idx="0">
                  <c:v>1082.9287968762219</c:v>
                </c:pt>
                <c:pt idx="1">
                  <c:v>43148.375375747681</c:v>
                </c:pt>
                <c:pt idx="2">
                  <c:v>3554833.8933333298</c:v>
                </c:pt>
                <c:pt idx="3">
                  <c:v>741.75365340709675</c:v>
                </c:pt>
              </c:numCache>
            </c:numRef>
          </c:val>
          <c:extLst>
            <c:ext xmlns:c16="http://schemas.microsoft.com/office/drawing/2014/chart" uri="{C3380CC4-5D6E-409C-BE32-E72D297353CC}">
              <c16:uniqueId val="{00000005-471D-4CE1-AE7E-8135BFF8462A}"/>
            </c:ext>
          </c:extLst>
        </c:ser>
        <c:ser>
          <c:idx val="6"/>
          <c:order val="6"/>
          <c:tx>
            <c:v>Park 3</c:v>
          </c:tx>
          <c:spPr>
            <a:solidFill>
              <a:srgbClr val="A6A6A6"/>
            </a:solidFill>
            <a:ln w="12700" cap="flat">
              <a:solidFill>
                <a:schemeClr val="bg1">
                  <a:lumMod val="65000"/>
                </a:schemeClr>
              </a:solidFill>
              <a:miter lim="400000"/>
            </a:ln>
            <a:effectLst/>
          </c:spPr>
          <c:invertIfNegative val="0"/>
          <c:errBars>
            <c:errBarType val="both"/>
            <c:errValType val="cust"/>
            <c:noEndCap val="0"/>
            <c:plus>
              <c:numRef>
                <c:f>([2]blaSHV!$M$15,[2]blaSHV!$M$38,[2]blaSHV!$M$61,[2]blaSHV!$M$84)</c:f>
                <c:numCache>
                  <c:formatCode>General</c:formatCode>
                  <c:ptCount val="4"/>
                  <c:pt idx="0">
                    <c:v>27.63186307930965</c:v>
                  </c:pt>
                  <c:pt idx="1">
                    <c:v>16266.795470858469</c:v>
                  </c:pt>
                  <c:pt idx="2">
                    <c:v>81577.864330642406</c:v>
                  </c:pt>
                  <c:pt idx="3">
                    <c:v>1151.0059665059609</c:v>
                  </c:pt>
                </c:numCache>
              </c:numRef>
            </c:plus>
            <c:minus>
              <c:numRef>
                <c:f>([2]blaSHV!$M$15,[2]blaSHV!$M$38,[2]blaSHV!$M$61,[2]blaSHV!$M$84)</c:f>
                <c:numCache>
                  <c:formatCode>General</c:formatCode>
                  <c:ptCount val="4"/>
                  <c:pt idx="0">
                    <c:v>27.63186307930965</c:v>
                  </c:pt>
                  <c:pt idx="1">
                    <c:v>16266.795470858469</c:v>
                  </c:pt>
                  <c:pt idx="2">
                    <c:v>81577.864330642406</c:v>
                  </c:pt>
                  <c:pt idx="3">
                    <c:v>1151.0059665059609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([2]blaSHV!$K$15,[2]blaSHV!$K$38,[2]blaSHV!$K$61,[2]blaSHV!$K$84)</c:f>
              <c:numCache>
                <c:formatCode>General</c:formatCode>
                <c:ptCount val="4"/>
                <c:pt idx="0">
                  <c:v>35.049087544281967</c:v>
                </c:pt>
                <c:pt idx="1">
                  <c:v>14088.21285911401</c:v>
                </c:pt>
                <c:pt idx="2">
                  <c:v>706374.4</c:v>
                </c:pt>
                <c:pt idx="3">
                  <c:v>2259.24704869588</c:v>
                </c:pt>
              </c:numCache>
            </c:numRef>
          </c:val>
          <c:extLst>
            <c:ext xmlns:c16="http://schemas.microsoft.com/office/drawing/2014/chart" uri="{C3380CC4-5D6E-409C-BE32-E72D297353CC}">
              <c16:uniqueId val="{00000006-471D-4CE1-AE7E-8135BFF8462A}"/>
            </c:ext>
          </c:extLst>
        </c:ser>
        <c:ser>
          <c:idx val="7"/>
          <c:order val="7"/>
          <c:tx>
            <c:v>Site 3.2</c:v>
          </c:tx>
          <c:spPr>
            <a:solidFill>
              <a:srgbClr val="A7A7A7"/>
            </a:solidFill>
            <a:ln w="12700" cap="flat">
              <a:noFill/>
              <a:miter lim="400000"/>
            </a:ln>
            <a:effectLst/>
          </c:spPr>
          <c:invertIfNegative val="0"/>
          <c:errBars>
            <c:errBarType val="both"/>
            <c:errValType val="cust"/>
            <c:noEndCap val="0"/>
            <c:plus>
              <c:numRef>
                <c:f>([2]blaSHV!$M$16,[2]blaSHV!$M$39,[2]blaSHV!$M$62,[2]blaSHV!$M$85)</c:f>
                <c:numCache>
                  <c:formatCode>General</c:formatCode>
                  <c:ptCount val="4"/>
                  <c:pt idx="0">
                    <c:v>73.872488553647955</c:v>
                  </c:pt>
                  <c:pt idx="1">
                    <c:v>7913.6533560030812</c:v>
                  </c:pt>
                  <c:pt idx="2">
                    <c:v>20800.399999999911</c:v>
                  </c:pt>
                  <c:pt idx="3">
                    <c:v>783.459772990597</c:v>
                  </c:pt>
                </c:numCache>
              </c:numRef>
            </c:plus>
            <c:minus>
              <c:numRef>
                <c:f>([2]blaSHV!$M$16,[2]blaSHV!$M$39,[2]blaSHV!$M$62,[2]blaSHV!$M$85)</c:f>
                <c:numCache>
                  <c:formatCode>General</c:formatCode>
                  <c:ptCount val="4"/>
                  <c:pt idx="0">
                    <c:v>73.872488553647955</c:v>
                  </c:pt>
                  <c:pt idx="1">
                    <c:v>7913.6533560030812</c:v>
                  </c:pt>
                  <c:pt idx="2">
                    <c:v>20800.399999999911</c:v>
                  </c:pt>
                  <c:pt idx="3">
                    <c:v>783.459772990597</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([2]blaSHV!$K$16,[2]blaSHV!$K$39,[2]blaSHV!$K$62,[2]blaSHV!$K$85)</c:f>
              <c:numCache>
                <c:formatCode>General</c:formatCode>
                <c:ptCount val="4"/>
                <c:pt idx="0">
                  <c:v>66.741126770774514</c:v>
                </c:pt>
                <c:pt idx="1">
                  <c:v>36130.670466105134</c:v>
                </c:pt>
                <c:pt idx="2">
                  <c:v>2174716.7200000002</c:v>
                </c:pt>
                <c:pt idx="3">
                  <c:v>1283.1808272600169</c:v>
                </c:pt>
              </c:numCache>
            </c:numRef>
          </c:val>
          <c:extLst>
            <c:ext xmlns:c16="http://schemas.microsoft.com/office/drawing/2014/chart" uri="{C3380CC4-5D6E-409C-BE32-E72D297353CC}">
              <c16:uniqueId val="{00000007-471D-4CE1-AE7E-8135BFF8462A}"/>
            </c:ext>
          </c:extLst>
        </c:ser>
        <c:ser>
          <c:idx val="8"/>
          <c:order val="8"/>
          <c:tx>
            <c:v>Site 3.3</c:v>
          </c:tx>
          <c:spPr>
            <a:solidFill>
              <a:srgbClr val="A7A7A7"/>
            </a:solidFill>
            <a:ln w="12700" cap="flat">
              <a:noFill/>
              <a:miter lim="400000"/>
            </a:ln>
            <a:effectLst/>
          </c:spPr>
          <c:invertIfNegative val="0"/>
          <c:errBars>
            <c:errBarType val="both"/>
            <c:errValType val="cust"/>
            <c:noEndCap val="0"/>
            <c:plus>
              <c:numRef>
                <c:f>([2]blaSHV!$M$17,[2]blaSHV!$M$40,[2]blaSHV!$M$63,[2]blaSHV!$M$86)</c:f>
                <c:numCache>
                  <c:formatCode>General</c:formatCode>
                  <c:ptCount val="4"/>
                  <c:pt idx="0">
                    <c:v>87.951731878395208</c:v>
                  </c:pt>
                  <c:pt idx="1">
                    <c:v>682.72655723667128</c:v>
                  </c:pt>
                  <c:pt idx="2">
                    <c:v>1199408.6116827901</c:v>
                  </c:pt>
                  <c:pt idx="3">
                    <c:v>23.718855035699619</c:v>
                  </c:pt>
                </c:numCache>
              </c:numRef>
            </c:plus>
            <c:minus>
              <c:numRef>
                <c:f>([2]blaSHV!$M$17,[2]blaSHV!$M$40,[2]blaSHV!$M$63,[2]blaSHV!$M$86)</c:f>
                <c:numCache>
                  <c:formatCode>General</c:formatCode>
                  <c:ptCount val="4"/>
                  <c:pt idx="0">
                    <c:v>87.951731878395208</c:v>
                  </c:pt>
                  <c:pt idx="1">
                    <c:v>682.72655723667128</c:v>
                  </c:pt>
                  <c:pt idx="2">
                    <c:v>1199408.6116827901</c:v>
                  </c:pt>
                  <c:pt idx="3">
                    <c:v>23.718855035699619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([2]blaSHV!$K$17,[2]blaSHV!$K$40,[2]blaSHV!$K$63,[2]blaSHV!$K$86)</c:f>
              <c:numCache>
                <c:formatCode>General</c:formatCode>
                <c:ptCount val="4"/>
                <c:pt idx="0">
                  <c:v>81.043686578671142</c:v>
                </c:pt>
                <c:pt idx="1">
                  <c:v>5472.2146735063398</c:v>
                </c:pt>
                <c:pt idx="2">
                  <c:v>1627440.24</c:v>
                </c:pt>
                <c:pt idx="3">
                  <c:v>33.460974299659327</c:v>
                </c:pt>
              </c:numCache>
            </c:numRef>
          </c:val>
          <c:extLst>
            <c:ext xmlns:c16="http://schemas.microsoft.com/office/drawing/2014/chart" uri="{C3380CC4-5D6E-409C-BE32-E72D297353CC}">
              <c16:uniqueId val="{00000008-471D-4CE1-AE7E-8135BFF8462A}"/>
            </c:ext>
          </c:extLst>
        </c:ser>
        <c:ser>
          <c:idx val="9"/>
          <c:order val="9"/>
          <c:tx>
            <c:v>Park 4</c:v>
          </c:tx>
          <c:spPr>
            <a:solidFill>
              <a:schemeClr val="accent4"/>
            </a:solidFill>
            <a:ln w="12700" cap="flat">
              <a:solidFill>
                <a:schemeClr val="accent4"/>
              </a:solidFill>
              <a:miter lim="400000"/>
            </a:ln>
            <a:effectLst/>
          </c:spPr>
          <c:invertIfNegative val="0"/>
          <c:errBars>
            <c:errBarType val="both"/>
            <c:errValType val="cust"/>
            <c:noEndCap val="0"/>
            <c:plus>
              <c:numRef>
                <c:f>([2]blaSHV!$M$18,[2]blaSHV!$M$41,[2]blaSHV!$M$64,[2]blaSHV!$M$87)</c:f>
                <c:numCache>
                  <c:formatCode>General</c:formatCode>
                  <c:ptCount val="4"/>
                  <c:pt idx="0">
                    <c:v>337.29862472975452</c:v>
                  </c:pt>
                  <c:pt idx="1">
                    <c:v>32854.836893707841</c:v>
                  </c:pt>
                  <c:pt idx="2">
                    <c:v>320458.4456006806</c:v>
                  </c:pt>
                  <c:pt idx="3">
                    <c:v>932.62018524457358</c:v>
                  </c:pt>
                </c:numCache>
              </c:numRef>
            </c:plus>
            <c:minus>
              <c:numRef>
                <c:f>([2]blaSHV!$M$18,[2]blaSHV!$M$41,[2]blaSHV!$M$64,[2]blaSHV!$M$87)</c:f>
                <c:numCache>
                  <c:formatCode>General</c:formatCode>
                  <c:ptCount val="4"/>
                  <c:pt idx="0">
                    <c:v>337.29862472975452</c:v>
                  </c:pt>
                  <c:pt idx="1">
                    <c:v>32854.836893707841</c:v>
                  </c:pt>
                  <c:pt idx="2">
                    <c:v>320458.4456006806</c:v>
                  </c:pt>
                  <c:pt idx="3">
                    <c:v>932.62018524457358</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([2]blaSHV!$K$18,[2]blaSHV!$K$41,[2]blaSHV!$K$64,[2]blaSHV!$K$87)</c:f>
              <c:numCache>
                <c:formatCode>General</c:formatCode>
                <c:ptCount val="4"/>
                <c:pt idx="0">
                  <c:v>784.24081152677581</c:v>
                </c:pt>
                <c:pt idx="1">
                  <c:v>81881.081360499054</c:v>
                </c:pt>
                <c:pt idx="2">
                  <c:v>942025.91999999888</c:v>
                </c:pt>
                <c:pt idx="3">
                  <c:v>678.25536350409175</c:v>
                </c:pt>
              </c:numCache>
            </c:numRef>
          </c:val>
          <c:extLst>
            <c:ext xmlns:c16="http://schemas.microsoft.com/office/drawing/2014/chart" uri="{C3380CC4-5D6E-409C-BE32-E72D297353CC}">
              <c16:uniqueId val="{00000009-471D-4CE1-AE7E-8135BFF8462A}"/>
            </c:ext>
          </c:extLst>
        </c:ser>
        <c:ser>
          <c:idx val="10"/>
          <c:order val="10"/>
          <c:tx>
            <c:v>Site 4.2</c:v>
          </c:tx>
          <c:spPr>
            <a:solidFill>
              <a:schemeClr val="accent4"/>
            </a:solidFill>
            <a:ln w="12700" cap="flat">
              <a:noFill/>
              <a:miter lim="400000"/>
            </a:ln>
            <a:effectLst/>
          </c:spPr>
          <c:invertIfNegative val="0"/>
          <c:errBars>
            <c:errBarType val="both"/>
            <c:errValType val="cust"/>
            <c:noEndCap val="0"/>
            <c:plus>
              <c:numRef>
                <c:f>([2]blaSHV!$M$19,[2]blaSHV!$M$42,[2]blaSHV!$M$65,[2]blaSHV!$M$88)</c:f>
                <c:numCache>
                  <c:formatCode>General</c:formatCode>
                  <c:ptCount val="4"/>
                  <c:pt idx="0">
                    <c:v>290.82587356032951</c:v>
                  </c:pt>
                  <c:pt idx="1">
                    <c:v>0</c:v>
                  </c:pt>
                  <c:pt idx="2">
                    <c:v>1246612.2078128301</c:v>
                  </c:pt>
                  <c:pt idx="3">
                    <c:v>12.02670545123193</c:v>
                  </c:pt>
                </c:numCache>
              </c:numRef>
            </c:plus>
            <c:minus>
              <c:numRef>
                <c:f>([2]blaSHV!$M$19,[2]blaSHV!$M$42,[2]blaSHV!$M$65,[2]blaSHV!$M$88)</c:f>
                <c:numCache>
                  <c:formatCode>General</c:formatCode>
                  <c:ptCount val="4"/>
                  <c:pt idx="0">
                    <c:v>290.82587356032951</c:v>
                  </c:pt>
                  <c:pt idx="1">
                    <c:v>0</c:v>
                  </c:pt>
                  <c:pt idx="2">
                    <c:v>1246612.2078128301</c:v>
                  </c:pt>
                  <c:pt idx="3">
                    <c:v>12.02670545123193</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([2]blaSHV!$K$19,[2]blaSHV!$K$42,[2]blaSHV!$K$65,[2]blaSHV!$K$88)</c:f>
              <c:numCache>
                <c:formatCode>General</c:formatCode>
                <c:ptCount val="4"/>
                <c:pt idx="0">
                  <c:v>364.88895680507022</c:v>
                </c:pt>
                <c:pt idx="1">
                  <c:v>0</c:v>
                </c:pt>
                <c:pt idx="2">
                  <c:v>1865727.09333333</c:v>
                </c:pt>
                <c:pt idx="3">
                  <c:v>48.759384757031967</c:v>
                </c:pt>
              </c:numCache>
            </c:numRef>
          </c:val>
          <c:extLst>
            <c:ext xmlns:c16="http://schemas.microsoft.com/office/drawing/2014/chart" uri="{C3380CC4-5D6E-409C-BE32-E72D297353CC}">
              <c16:uniqueId val="{0000000A-471D-4CE1-AE7E-8135BFF8462A}"/>
            </c:ext>
          </c:extLst>
        </c:ser>
        <c:ser>
          <c:idx val="11"/>
          <c:order val="11"/>
          <c:tx>
            <c:v>Site 4.3</c:v>
          </c:tx>
          <c:spPr>
            <a:solidFill>
              <a:schemeClr val="accent4"/>
            </a:solidFill>
            <a:ln w="12700" cap="flat">
              <a:noFill/>
              <a:miter lim="400000"/>
            </a:ln>
            <a:effectLst/>
          </c:spPr>
          <c:invertIfNegative val="0"/>
          <c:errBars>
            <c:errBarType val="both"/>
            <c:errValType val="cust"/>
            <c:noEndCap val="0"/>
            <c:plus>
              <c:numRef>
                <c:f>([2]blaSHV!$M$20,[2]blaSHV!$M$43,[2]blaSHV!$M$66,[2]blaSHV!$M$89)</c:f>
                <c:numCache>
                  <c:formatCode>General</c:formatCode>
                  <c:ptCount val="4"/>
                  <c:pt idx="0">
                    <c:v>609.66806910510138</c:v>
                  </c:pt>
                  <c:pt idx="1">
                    <c:v>2487.29353621993</c:v>
                  </c:pt>
                  <c:pt idx="2">
                    <c:v>630489.27478558186</c:v>
                  </c:pt>
                  <c:pt idx="3">
                    <c:v>15.80368505994821</c:v>
                  </c:pt>
                </c:numCache>
              </c:numRef>
            </c:plus>
            <c:minus>
              <c:numRef>
                <c:f>([2]blaSHV!$M$20,[2]blaSHV!$M$43,[2]blaSHV!$M$66,[2]blaSHV!$M$89)</c:f>
                <c:numCache>
                  <c:formatCode>General</c:formatCode>
                  <c:ptCount val="4"/>
                  <c:pt idx="0">
                    <c:v>609.66806910510138</c:v>
                  </c:pt>
                  <c:pt idx="1">
                    <c:v>2487.29353621993</c:v>
                  </c:pt>
                  <c:pt idx="2">
                    <c:v>630489.27478558186</c:v>
                  </c:pt>
                  <c:pt idx="3">
                    <c:v>15.80368505994821</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([2]blaSHV!$K$20,[2]blaSHV!$K$43,[2]blaSHV!$K$66,[2]blaSHV!$K$89)</c:f>
              <c:numCache>
                <c:formatCode>General</c:formatCode>
                <c:ptCount val="4"/>
                <c:pt idx="0">
                  <c:v>506.27686020235228</c:v>
                </c:pt>
                <c:pt idx="1">
                  <c:v>8277.4447784423901</c:v>
                </c:pt>
                <c:pt idx="2">
                  <c:v>1286935.4666666701</c:v>
                </c:pt>
                <c:pt idx="3">
                  <c:v>14.76281538729866</c:v>
                </c:pt>
              </c:numCache>
            </c:numRef>
          </c:val>
          <c:extLst>
            <c:ext xmlns:c16="http://schemas.microsoft.com/office/drawing/2014/chart" uri="{C3380CC4-5D6E-409C-BE32-E72D297353CC}">
              <c16:uniqueId val="{0000000B-471D-4CE1-AE7E-8135BFF8462A}"/>
            </c:ext>
          </c:extLst>
        </c:ser>
        <c:ser>
          <c:idx val="12"/>
          <c:order val="12"/>
          <c:tx>
            <c:v>Park 5</c:v>
          </c:tx>
          <c:spPr>
            <a:solidFill>
              <a:schemeClr val="accent5"/>
            </a:solidFill>
            <a:ln w="12700" cap="flat">
              <a:solidFill>
                <a:schemeClr val="accent5"/>
              </a:solidFill>
              <a:miter lim="400000"/>
            </a:ln>
            <a:effectLst/>
          </c:spPr>
          <c:invertIfNegative val="0"/>
          <c:errBars>
            <c:errBarType val="both"/>
            <c:errValType val="cust"/>
            <c:noEndCap val="0"/>
            <c:plus>
              <c:numRef>
                <c:f>([2]blaSHV!$M$21,[2]blaSHV!$M$44,[2]blaSHV!$M$67,[2]blaSHV!$M$90)</c:f>
                <c:numCache>
                  <c:formatCode>General</c:formatCode>
                  <c:ptCount val="4"/>
                  <c:pt idx="0">
                    <c:v>60.328755156738829</c:v>
                  </c:pt>
                  <c:pt idx="1">
                    <c:v>15514.260346605961</c:v>
                  </c:pt>
                  <c:pt idx="2">
                    <c:v>582767.76000000071</c:v>
                  </c:pt>
                  <c:pt idx="3">
                    <c:v>24.268795206412669</c:v>
                  </c:pt>
                </c:numCache>
              </c:numRef>
            </c:plus>
            <c:minus>
              <c:numRef>
                <c:f>([2]blaSHV!$M$21,[2]blaSHV!$M$44,[2]blaSHV!$M$67,[2]blaSHV!$M$90)</c:f>
                <c:numCache>
                  <c:formatCode>General</c:formatCode>
                  <c:ptCount val="4"/>
                  <c:pt idx="0">
                    <c:v>60.328755156738829</c:v>
                  </c:pt>
                  <c:pt idx="1">
                    <c:v>15514.260346605961</c:v>
                  </c:pt>
                  <c:pt idx="2">
                    <c:v>582767.76000000071</c:v>
                  </c:pt>
                  <c:pt idx="3">
                    <c:v>24.268795206412669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([2]blaSHV!$K$21,[2]blaSHV!$K$44,[2]blaSHV!$K$67,[2]blaSHV!$K$90)</c:f>
              <c:numCache>
                <c:formatCode>General</c:formatCode>
                <c:ptCount val="4"/>
                <c:pt idx="0">
                  <c:v>578.90346686045302</c:v>
                </c:pt>
                <c:pt idx="1">
                  <c:v>31897.449361801151</c:v>
                </c:pt>
                <c:pt idx="2">
                  <c:v>6915859.4400000004</c:v>
                </c:pt>
                <c:pt idx="3">
                  <c:v>39.368022558589757</c:v>
                </c:pt>
              </c:numCache>
            </c:numRef>
          </c:val>
          <c:extLst>
            <c:ext xmlns:c16="http://schemas.microsoft.com/office/drawing/2014/chart" uri="{C3380CC4-5D6E-409C-BE32-E72D297353CC}">
              <c16:uniqueId val="{0000000C-471D-4CE1-AE7E-8135BFF8462A}"/>
            </c:ext>
          </c:extLst>
        </c:ser>
        <c:ser>
          <c:idx val="13"/>
          <c:order val="13"/>
          <c:tx>
            <c:v>Site 5.2</c:v>
          </c:tx>
          <c:spPr>
            <a:solidFill>
              <a:schemeClr val="accent5"/>
            </a:solidFill>
            <a:ln w="12700" cap="flat">
              <a:noFill/>
              <a:miter lim="400000"/>
            </a:ln>
            <a:effectLst/>
          </c:spPr>
          <c:invertIfNegative val="0"/>
          <c:errBars>
            <c:errBarType val="both"/>
            <c:errValType val="cust"/>
            <c:noEndCap val="0"/>
            <c:plus>
              <c:numRef>
                <c:f>([2]blaSHV!$M$22,[2]blaSHV!$M$45,[2]blaSHV!$M$68,[2]blaSHV!$M$91)</c:f>
                <c:numCache>
                  <c:formatCode>General</c:formatCode>
                  <c:ptCount val="4"/>
                  <c:pt idx="0">
                    <c:v>699.63048810343639</c:v>
                  </c:pt>
                  <c:pt idx="1">
                    <c:v>13272.967193389801</c:v>
                  </c:pt>
                  <c:pt idx="2">
                    <c:v>805832.79999999015</c:v>
                  </c:pt>
                  <c:pt idx="3">
                    <c:v>325.97030201756371</c:v>
                  </c:pt>
                </c:numCache>
              </c:numRef>
            </c:plus>
            <c:minus>
              <c:numRef>
                <c:f>([2]blaSHV!$M$22,[2]blaSHV!$M$45,[2]blaSHV!$M$68,[2]blaSHV!$M$91)</c:f>
                <c:numCache>
                  <c:formatCode>General</c:formatCode>
                  <c:ptCount val="4"/>
                  <c:pt idx="0">
                    <c:v>699.63048810343639</c:v>
                  </c:pt>
                  <c:pt idx="1">
                    <c:v>13272.967193389801</c:v>
                  </c:pt>
                  <c:pt idx="2">
                    <c:v>805832.79999999015</c:v>
                  </c:pt>
                  <c:pt idx="3">
                    <c:v>325.97030201756371</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([2]blaSHV!$K$22,[2]blaSHV!$K$45,[2]blaSHV!$K$68,[2]blaSHV!$K$91)</c:f>
              <c:numCache>
                <c:formatCode>General</c:formatCode>
                <c:ptCount val="4"/>
                <c:pt idx="0">
                  <c:v>960.35921674966789</c:v>
                </c:pt>
                <c:pt idx="1">
                  <c:v>23367.395639419559</c:v>
                </c:pt>
                <c:pt idx="2">
                  <c:v>2797847.2</c:v>
                </c:pt>
                <c:pt idx="3">
                  <c:v>652.11646626392996</c:v>
                </c:pt>
              </c:numCache>
            </c:numRef>
          </c:val>
          <c:extLst>
            <c:ext xmlns:c16="http://schemas.microsoft.com/office/drawing/2014/chart" uri="{C3380CC4-5D6E-409C-BE32-E72D297353CC}">
              <c16:uniqueId val="{0000000D-471D-4CE1-AE7E-8135BFF8462A}"/>
            </c:ext>
          </c:extLst>
        </c:ser>
        <c:ser>
          <c:idx val="14"/>
          <c:order val="14"/>
          <c:tx>
            <c:v>Site 5.3</c:v>
          </c:tx>
          <c:spPr>
            <a:solidFill>
              <a:schemeClr val="accent5"/>
            </a:solidFill>
            <a:ln w="12700" cap="flat">
              <a:noFill/>
              <a:miter lim="400000"/>
            </a:ln>
            <a:effectLst/>
          </c:spPr>
          <c:invertIfNegative val="0"/>
          <c:errBars>
            <c:errBarType val="both"/>
            <c:errValType val="cust"/>
            <c:noEndCap val="0"/>
            <c:plus>
              <c:numRef>
                <c:f>([2]blaSHV!$M$23,[2]blaSHV!$M$46,[2]blaSHV!$M$69,[2]blaSHV!$M$92)</c:f>
                <c:numCache>
                  <c:formatCode>General</c:formatCode>
                  <c:ptCount val="4"/>
                  <c:pt idx="0">
                    <c:v>107.47395760337101</c:v>
                  </c:pt>
                  <c:pt idx="1">
                    <c:v>11978.998355818831</c:v>
                  </c:pt>
                  <c:pt idx="2">
                    <c:v>282110.11085176602</c:v>
                  </c:pt>
                  <c:pt idx="3">
                    <c:v>7941.7097846356683</c:v>
                  </c:pt>
                </c:numCache>
              </c:numRef>
            </c:plus>
            <c:minus>
              <c:numRef>
                <c:f>([2]blaSHV!$M$23,[2]blaSHV!$M$46,[2]blaSHV!$M$69,[2]blaSHV!$M$92)</c:f>
                <c:numCache>
                  <c:formatCode>General</c:formatCode>
                  <c:ptCount val="4"/>
                  <c:pt idx="0">
                    <c:v>107.47395760337101</c:v>
                  </c:pt>
                  <c:pt idx="1">
                    <c:v>11978.998355818831</c:v>
                  </c:pt>
                  <c:pt idx="2">
                    <c:v>282110.11085176602</c:v>
                  </c:pt>
                  <c:pt idx="3">
                    <c:v>7941.7097846356683</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([2]blaSHV!$K$23,[2]blaSHV!$K$46,[2]blaSHV!$K$69,[2]blaSHV!$K$92)</c:f>
              <c:numCache>
                <c:formatCode>General</c:formatCode>
                <c:ptCount val="4"/>
                <c:pt idx="0">
                  <c:v>115.0337846477827</c:v>
                </c:pt>
                <c:pt idx="1">
                  <c:v>23517.738647460941</c:v>
                </c:pt>
                <c:pt idx="2">
                  <c:v>2841362.0639999998</c:v>
                </c:pt>
                <c:pt idx="3">
                  <c:v>6715.0011055469513</c:v>
                </c:pt>
              </c:numCache>
            </c:numRef>
          </c:val>
          <c:extLst>
            <c:ext xmlns:c16="http://schemas.microsoft.com/office/drawing/2014/chart" uri="{C3380CC4-5D6E-409C-BE32-E72D297353CC}">
              <c16:uniqueId val="{0000000E-471D-4CE1-AE7E-8135BFF8462A}"/>
            </c:ext>
          </c:extLst>
        </c:ser>
        <c:ser>
          <c:idx val="15"/>
          <c:order val="15"/>
          <c:tx>
            <c:v>Park 6</c:v>
          </c:tx>
          <c:spPr>
            <a:solidFill>
              <a:schemeClr val="accent6"/>
            </a:solidFill>
            <a:ln w="12700" cap="flat">
              <a:solidFill>
                <a:schemeClr val="accent6"/>
              </a:solidFill>
              <a:miter lim="400000"/>
            </a:ln>
            <a:effectLst/>
          </c:spPr>
          <c:invertIfNegative val="0"/>
          <c:errBars>
            <c:errBarType val="both"/>
            <c:errValType val="cust"/>
            <c:noEndCap val="0"/>
            <c:plus>
              <c:numRef>
                <c:f>([2]blaSHV!$M$24,[2]blaSHV!$M$47,[2]blaSHV!$M$70,[2]blaSHV!$M$93)</c:f>
                <c:numCache>
                  <c:formatCode>General</c:formatCode>
                  <c:ptCount val="4"/>
                  <c:pt idx="0">
                    <c:v>17.383199334579679</c:v>
                  </c:pt>
                  <c:pt idx="1">
                    <c:v>203.9493063280525</c:v>
                  </c:pt>
                  <c:pt idx="2">
                    <c:v>4093428.6961771101</c:v>
                  </c:pt>
                  <c:pt idx="3">
                    <c:v>408.21631757645662</c:v>
                  </c:pt>
                </c:numCache>
              </c:numRef>
            </c:plus>
            <c:minus>
              <c:numRef>
                <c:f>([2]blaSHV!$M$24,[2]blaSHV!$M$47,[2]blaSHV!$M$70,[2]blaSHV!$M$93)</c:f>
                <c:numCache>
                  <c:formatCode>General</c:formatCode>
                  <c:ptCount val="4"/>
                  <c:pt idx="0">
                    <c:v>17.383199334579679</c:v>
                  </c:pt>
                  <c:pt idx="1">
                    <c:v>203.9493063280525</c:v>
                  </c:pt>
                  <c:pt idx="2">
                    <c:v>4093428.6961771101</c:v>
                  </c:pt>
                  <c:pt idx="3">
                    <c:v>408.21631757645662</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([2]blaSHV!$K$24,[2]blaSHV!$K$47,[2]blaSHV!$K$70,[2]blaSHV!$K$93)</c:f>
              <c:numCache>
                <c:formatCode>General</c:formatCode>
                <c:ptCount val="4"/>
                <c:pt idx="0">
                  <c:v>120.6692850987117</c:v>
                </c:pt>
                <c:pt idx="1">
                  <c:v>771.67431519447416</c:v>
                </c:pt>
                <c:pt idx="2">
                  <c:v>7736463.3600000003</c:v>
                </c:pt>
                <c:pt idx="3">
                  <c:v>348.51363283892482</c:v>
                </c:pt>
              </c:numCache>
            </c:numRef>
          </c:val>
          <c:extLst>
            <c:ext xmlns:c16="http://schemas.microsoft.com/office/drawing/2014/chart" uri="{C3380CC4-5D6E-409C-BE32-E72D297353CC}">
              <c16:uniqueId val="{0000000F-471D-4CE1-AE7E-8135BFF8462A}"/>
            </c:ext>
          </c:extLst>
        </c:ser>
        <c:ser>
          <c:idx val="16"/>
          <c:order val="16"/>
          <c:tx>
            <c:v>Site 6.2</c:v>
          </c:tx>
          <c:spPr>
            <a:solidFill>
              <a:schemeClr val="accent6"/>
            </a:solidFill>
            <a:ln w="12700" cap="flat">
              <a:noFill/>
              <a:miter lim="400000"/>
            </a:ln>
            <a:effectLst/>
          </c:spPr>
          <c:invertIfNegative val="0"/>
          <c:errBars>
            <c:errBarType val="both"/>
            <c:errValType val="cust"/>
            <c:noEndCap val="0"/>
            <c:plus>
              <c:numRef>
                <c:f>([2]blaSHV!$M$25,[2]blaSHV!$M$48,[2]blaSHV!$M$71,[2]blaSHV!$M$94)</c:f>
                <c:numCache>
                  <c:formatCode>General</c:formatCode>
                  <c:ptCount val="4"/>
                  <c:pt idx="0">
                    <c:v>93.695872159707676</c:v>
                  </c:pt>
                  <c:pt idx="1">
                    <c:v>212.52990679530021</c:v>
                  </c:pt>
                  <c:pt idx="2">
                    <c:v>585200.91688113101</c:v>
                  </c:pt>
                  <c:pt idx="3">
                    <c:v>187.76752868266931</c:v>
                  </c:pt>
                </c:numCache>
              </c:numRef>
            </c:plus>
            <c:minus>
              <c:numRef>
                <c:f>([2]blaSHV!$M$25,[2]blaSHV!$M$48,[2]blaSHV!$M$71,[2]blaSHV!$M$94)</c:f>
                <c:numCache>
                  <c:formatCode>General</c:formatCode>
                  <c:ptCount val="4"/>
                  <c:pt idx="0">
                    <c:v>93.695872159707676</c:v>
                  </c:pt>
                  <c:pt idx="1">
                    <c:v>212.52990679530021</c:v>
                  </c:pt>
                  <c:pt idx="2">
                    <c:v>585200.91688113101</c:v>
                  </c:pt>
                  <c:pt idx="3">
                    <c:v>187.76752868266931</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([2]blaSHV!$K$25,[2]blaSHV!$K$48,[2]blaSHV!$K$71,[2]blaSHV!$K$94)</c:f>
              <c:numCache>
                <c:formatCode>General</c:formatCode>
                <c:ptCount val="4"/>
                <c:pt idx="0">
                  <c:v>123.24230575561521</c:v>
                </c:pt>
                <c:pt idx="1">
                  <c:v>6402.464922587078</c:v>
                </c:pt>
                <c:pt idx="2">
                  <c:v>1194291.86666667</c:v>
                </c:pt>
                <c:pt idx="3">
                  <c:v>148.3782107569277</c:v>
                </c:pt>
              </c:numCache>
            </c:numRef>
          </c:val>
          <c:extLst>
            <c:ext xmlns:c16="http://schemas.microsoft.com/office/drawing/2014/chart" uri="{C3380CC4-5D6E-409C-BE32-E72D297353CC}">
              <c16:uniqueId val="{00000010-471D-4CE1-AE7E-8135BFF8462A}"/>
            </c:ext>
          </c:extLst>
        </c:ser>
        <c:ser>
          <c:idx val="17"/>
          <c:order val="17"/>
          <c:tx>
            <c:v>Site 6.3</c:v>
          </c:tx>
          <c:spPr>
            <a:solidFill>
              <a:schemeClr val="accent6"/>
            </a:solidFill>
            <a:ln w="12700" cap="flat">
              <a:noFill/>
              <a:miter lim="400000"/>
            </a:ln>
            <a:effectLst/>
          </c:spPr>
          <c:invertIfNegative val="0"/>
          <c:errBars>
            <c:errBarType val="both"/>
            <c:errValType val="cust"/>
            <c:noEndCap val="0"/>
            <c:plus>
              <c:numRef>
                <c:f>([2]blaSHV!$M$26,[2]blaSHV!$M$49,[2]blaSHV!$M$72,[2]blaSHV!$M$95)</c:f>
                <c:numCache>
                  <c:formatCode>General</c:formatCode>
                  <c:ptCount val="4"/>
                  <c:pt idx="0">
                    <c:v>151.26553464683971</c:v>
                  </c:pt>
                  <c:pt idx="1">
                    <c:v>693.43881831343288</c:v>
                  </c:pt>
                  <c:pt idx="2">
                    <c:v>261417.6417733132</c:v>
                  </c:pt>
                  <c:pt idx="3">
                    <c:v>29.28285652898359</c:v>
                  </c:pt>
                </c:numCache>
              </c:numRef>
            </c:plus>
            <c:minus>
              <c:numRef>
                <c:f>([2]blaSHV!$M$26,[2]blaSHV!$M$49,[2]blaSHV!$M$72,[2]blaSHV!$M$95)</c:f>
                <c:numCache>
                  <c:formatCode>General</c:formatCode>
                  <c:ptCount val="4"/>
                  <c:pt idx="0">
                    <c:v>151.26553464683971</c:v>
                  </c:pt>
                  <c:pt idx="1">
                    <c:v>693.43881831343288</c:v>
                  </c:pt>
                  <c:pt idx="2">
                    <c:v>261417.6417733132</c:v>
                  </c:pt>
                  <c:pt idx="3">
                    <c:v>29.28285652898359</c:v>
                  </c:pt>
                </c:numCache>
              </c:numRef>
            </c:minus>
            <c:spPr>
              <a:noFill/>
              <a:ln w="9525" cap="flat">
                <a:solidFill>
                  <a:srgbClr val="000000"/>
                </a:solidFill>
                <a:prstDash val="solid"/>
                <a:round/>
              </a:ln>
              <a:effectLst/>
            </c:spPr>
          </c:errBars>
          <c:cat>
            <c:strRef>
              <c:f>(Sheet1!$M$2,Sheet1!$M$3,Sheet1!$M$4,Sheet1!$M$5)</c:f>
              <c:strCache>
                <c:ptCount val="4"/>
                <c:pt idx="0">
                  <c:v>Los Angeles</c:v>
                </c:pt>
                <c:pt idx="1">
                  <c:v>San Diego</c:v>
                </c:pt>
                <c:pt idx="2">
                  <c:v>Bakersfield</c:v>
                </c:pt>
                <c:pt idx="3">
                  <c:v>Fresno</c:v>
                </c:pt>
              </c:strCache>
            </c:strRef>
          </c:cat>
          <c:val>
            <c:numRef>
              <c:f>([2]blaSHV!$K$26,[2]blaSHV!$K$49,[2]blaSHV!$K$72,[2]blaSHV!$K$95)</c:f>
              <c:numCache>
                <c:formatCode>General</c:formatCode>
                <c:ptCount val="4"/>
                <c:pt idx="0">
                  <c:v>130.6850855598847</c:v>
                </c:pt>
                <c:pt idx="1">
                  <c:v>1293.8531360626221</c:v>
                </c:pt>
                <c:pt idx="2">
                  <c:v>2282367.3066666699</c:v>
                </c:pt>
                <c:pt idx="3">
                  <c:v>40.09904182205598</c:v>
                </c:pt>
              </c:numCache>
            </c:numRef>
          </c:val>
          <c:extLst>
            <c:ext xmlns:c16="http://schemas.microsoft.com/office/drawing/2014/chart" uri="{C3380CC4-5D6E-409C-BE32-E72D297353CC}">
              <c16:uniqueId val="{00000011-471D-4CE1-AE7E-8135BFF8462A}"/>
            </c:ext>
          </c:extLst>
        </c:ser>
        <c:dLbls>
          <c:showLegendKey val="0"/>
          <c:showVal val="0"/>
          <c:showCatName val="0"/>
          <c:showSerName val="0"/>
          <c:showPercent val="0"/>
          <c:showBubbleSize val="0"/>
        </c:dLbls>
        <c:gapWidth val="150"/>
        <c:axId val="-2132656320"/>
        <c:axId val="-2025326240"/>
      </c:barChart>
      <c:catAx>
        <c:axId val="-2132656320"/>
        <c:scaling>
          <c:orientation val="minMax"/>
        </c:scaling>
        <c:delete val="0"/>
        <c:axPos val="b"/>
        <c:numFmt formatCode="General" sourceLinked="1"/>
        <c:majorTickMark val="out"/>
        <c:minorTickMark val="none"/>
        <c:tickLblPos val="low"/>
        <c:spPr>
          <a:ln w="12700" cap="flat">
            <a:solidFill>
              <a:srgbClr val="D9D9D9"/>
            </a:solidFill>
            <a:prstDash val="solid"/>
            <a:round/>
          </a:ln>
        </c:spPr>
        <c:txPr>
          <a:bodyPr rot="0"/>
          <a:lstStyle/>
          <a:p>
            <a:pPr>
              <a:defRPr sz="1000" b="1"/>
            </a:pPr>
            <a:endParaRPr lang="en-US"/>
          </a:p>
        </c:txPr>
        <c:crossAx val="-2025326240"/>
        <c:crossesAt val="0.01"/>
        <c:auto val="1"/>
        <c:lblAlgn val="ctr"/>
        <c:lblOffset val="100"/>
        <c:noMultiLvlLbl val="1"/>
      </c:catAx>
      <c:valAx>
        <c:axId val="-2025326240"/>
        <c:scaling>
          <c:logBase val="10"/>
          <c:orientation val="minMax"/>
          <c:max val="100000000"/>
          <c:min val="0.01"/>
        </c:scaling>
        <c:delete val="0"/>
        <c:axPos val="l"/>
        <c:majorGridlines>
          <c:spPr>
            <a:ln w="12700" cap="flat">
              <a:noFill/>
              <a:prstDash val="solid"/>
              <a:round/>
            </a:ln>
          </c:spPr>
        </c:majorGridlines>
        <c:title>
          <c:tx>
            <c:rich>
              <a:bodyPr rot="-5400000"/>
              <a:lstStyle/>
              <a:p>
                <a:pPr>
                  <a:defRPr sz="1000"/>
                </a:pPr>
                <a:r>
                  <a:rPr lang="en-US" sz="1000"/>
                  <a:t>Copy number/g</a:t>
                </a:r>
                <a:br>
                  <a:rPr lang="en-US" sz="1000"/>
                </a:br>
                <a:r>
                  <a:rPr lang="en-US" sz="1000"/>
                  <a:t>of</a:t>
                </a:r>
                <a:r>
                  <a:rPr lang="en-US" sz="1000" baseline="0"/>
                  <a:t> </a:t>
                </a:r>
                <a:r>
                  <a:rPr lang="en-US" sz="1000"/>
                  <a:t>soil</a:t>
                </a:r>
              </a:p>
            </c:rich>
          </c:tx>
          <c:layout>
            <c:manualLayout>
              <c:xMode val="edge"/>
              <c:yMode val="edge"/>
              <c:x val="2.8702604482132E-3"/>
              <c:y val="0.25756165894625699"/>
            </c:manualLayout>
          </c:layout>
          <c:overlay val="1"/>
        </c:title>
        <c:numFmt formatCode="0.0E+00" sourceLinked="0"/>
        <c:majorTickMark val="none"/>
        <c:minorTickMark val="none"/>
        <c:tickLblPos val="nextTo"/>
        <c:spPr>
          <a:ln w="12700" cap="flat">
            <a:solidFill>
              <a:schemeClr val="bg1">
                <a:lumMod val="85000"/>
              </a:schemeClr>
            </a:solidFill>
            <a:prstDash val="solid"/>
            <a:round/>
          </a:ln>
        </c:spPr>
        <c:txPr>
          <a:bodyPr rot="0"/>
          <a:lstStyle/>
          <a:p>
            <a:pPr>
              <a:defRPr sz="800"/>
            </a:pPr>
            <a:endParaRPr lang="en-US"/>
          </a:p>
        </c:txPr>
        <c:crossAx val="-2132656320"/>
        <c:crosses val="autoZero"/>
        <c:crossBetween val="between"/>
      </c:valAx>
      <c:spPr>
        <a:noFill/>
        <a:ln w="12700" cap="flat">
          <a:noFill/>
          <a:miter lim="400000"/>
        </a:ln>
        <a:effectLst/>
      </c:spPr>
    </c:plotArea>
    <c:legend>
      <c:legendPos val="r"/>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10"/>
        <c:delete val="1"/>
      </c:legendEntry>
      <c:legendEntry>
        <c:idx val="11"/>
        <c:delete val="1"/>
      </c:legendEntry>
      <c:legendEntry>
        <c:idx val="13"/>
        <c:delete val="1"/>
      </c:legendEntry>
      <c:legendEntry>
        <c:idx val="14"/>
        <c:delete val="1"/>
      </c:legendEntry>
      <c:legendEntry>
        <c:idx val="16"/>
        <c:delete val="1"/>
      </c:legendEntry>
      <c:legendEntry>
        <c:idx val="17"/>
        <c:delete val="1"/>
      </c:legendEntry>
      <c:layout>
        <c:manualLayout>
          <c:xMode val="edge"/>
          <c:yMode val="edge"/>
          <c:x val="0.56492913849353898"/>
          <c:y val="0.66629630126213801"/>
          <c:w val="0.39047583631015098"/>
          <c:h val="0.13528817741457799"/>
        </c:manualLayout>
      </c:layout>
      <c:overlay val="1"/>
      <c:spPr>
        <a:solidFill>
          <a:schemeClr val="bg1"/>
        </a:solidFill>
        <a:ln w="12700" cap="flat">
          <a:noFill/>
          <a:miter lim="400000"/>
        </a:ln>
        <a:effectLst/>
      </c:spPr>
      <c:txPr>
        <a:bodyPr rot="0"/>
        <a:lstStyle/>
        <a:p>
          <a:pPr>
            <a:defRPr sz="800"/>
          </a:pPr>
          <a:endParaRPr lang="en-US"/>
        </a:p>
      </c:txPr>
    </c:legend>
    <c:plotVisOnly val="1"/>
    <c:dispBlanksAs val="gap"/>
    <c:showDLblsOverMax val="1"/>
  </c:chart>
  <c:spPr>
    <a:solidFill>
      <a:srgbClr val="FFFFFF"/>
    </a:solidFill>
    <a:ln w="12700" cap="flat">
      <a:solidFill>
        <a:srgbClr val="D9D9D9"/>
      </a:solidFill>
      <a:prstDash val="solid"/>
      <a:round/>
    </a:ln>
    <a:effectLst/>
  </c:spPr>
  <c:txPr>
    <a:bodyPr/>
    <a:lstStyle/>
    <a:p>
      <a:pPr>
        <a:defRPr sz="1200">
          <a:latin typeface="Helvetica"/>
          <a:cs typeface="Helvetic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400"/>
            </a:pPr>
            <a:r>
              <a:rPr lang="en-US" sz="1400" b="1" i="1" u="none" strike="noStrike" baseline="0">
                <a:effectLst/>
              </a:rPr>
              <a:t>bla</a:t>
            </a:r>
            <a:r>
              <a:rPr lang="en-US" sz="1400" b="1" i="0" u="none" strike="noStrike" baseline="-25000">
                <a:effectLst/>
              </a:rPr>
              <a:t>SHV</a:t>
            </a:r>
            <a:r>
              <a:rPr lang="en-US" sz="1400"/>
              <a:t> Copies in Tap Water</a:t>
            </a:r>
          </a:p>
        </c:rich>
      </c:tx>
      <c:layout>
        <c:manualLayout>
          <c:xMode val="edge"/>
          <c:yMode val="edge"/>
          <c:x val="0.28420363040018498"/>
          <c:y val="3.1254009298862802E-2"/>
          <c:w val="0.235684"/>
          <c:h val="0.1129"/>
        </c:manualLayout>
      </c:layout>
      <c:overlay val="1"/>
      <c:spPr>
        <a:noFill/>
        <a:effectLst/>
      </c:spPr>
    </c:title>
    <c:autoTitleDeleted val="0"/>
    <c:plotArea>
      <c:layout>
        <c:manualLayout>
          <c:layoutTarget val="inner"/>
          <c:xMode val="edge"/>
          <c:yMode val="edge"/>
          <c:x val="0.19826252286680099"/>
          <c:y val="0.16161999466330301"/>
          <c:w val="0.77830874221026702"/>
          <c:h val="0.68549930339844001"/>
        </c:manualLayout>
      </c:layout>
      <c:barChart>
        <c:barDir val="col"/>
        <c:grouping val="clustered"/>
        <c:varyColors val="0"/>
        <c:ser>
          <c:idx val="0"/>
          <c:order val="0"/>
          <c:tx>
            <c:v>Park 1</c:v>
          </c:tx>
          <c:spPr>
            <a:solidFill>
              <a:schemeClr val="accent1"/>
            </a:solidFill>
            <a:ln w="12700" cap="flat">
              <a:solidFill>
                <a:schemeClr val="accent1"/>
              </a:solidFill>
              <a:miter lim="400000"/>
            </a:ln>
            <a:effectLst/>
          </c:spPr>
          <c:invertIfNegative val="0"/>
          <c:errBars>
            <c:errBarType val="both"/>
            <c:errValType val="cust"/>
            <c:noEndCap val="0"/>
            <c:plus>
              <c:numRef>
                <c:f>([4]blaSHV!$M$9,[4]blaSHV!$M$32,[4]blaSHV!$M$55,[4]blaSHV!$M$78)</c:f>
                <c:numCache>
                  <c:formatCode>General</c:formatCode>
                  <c:ptCount val="4"/>
                  <c:pt idx="0">
                    <c:v>0</c:v>
                  </c:pt>
                  <c:pt idx="1">
                    <c:v>260.30208208277901</c:v>
                  </c:pt>
                  <c:pt idx="2">
                    <c:v>484.45000770793462</c:v>
                  </c:pt>
                  <c:pt idx="3">
                    <c:v>0</c:v>
                  </c:pt>
                </c:numCache>
              </c:numRef>
            </c:plus>
            <c:minus>
              <c:numRef>
                <c:f>([4]blaSHV!$M$9,[4]blaSHV!$M$32,[4]blaSHV!$M$55,[4]blaSHV!$M$78)</c:f>
                <c:numCache>
                  <c:formatCode>General</c:formatCode>
                  <c:ptCount val="4"/>
                  <c:pt idx="0">
                    <c:v>0</c:v>
                  </c:pt>
                  <c:pt idx="1">
                    <c:v>260.30208208277901</c:v>
                  </c:pt>
                  <c:pt idx="2">
                    <c:v>484.45000770793462</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([4]blaSHV!$K$9,[4]blaSHV!$K$32,[4]blaSHV!$K$55,[4]blaSHV!$K$78)</c:f>
              <c:numCache>
                <c:formatCode>General</c:formatCode>
                <c:ptCount val="4"/>
                <c:pt idx="0">
                  <c:v>0</c:v>
                </c:pt>
                <c:pt idx="1">
                  <c:v>633.32038188888839</c:v>
                </c:pt>
                <c:pt idx="2">
                  <c:v>3600.136722193824</c:v>
                </c:pt>
                <c:pt idx="3">
                  <c:v>0</c:v>
                </c:pt>
              </c:numCache>
            </c:numRef>
          </c:val>
          <c:extLst>
            <c:ext xmlns:c16="http://schemas.microsoft.com/office/drawing/2014/chart" uri="{C3380CC4-5D6E-409C-BE32-E72D297353CC}">
              <c16:uniqueId val="{00000000-8554-4607-B2BB-79F345827D52}"/>
            </c:ext>
          </c:extLst>
        </c:ser>
        <c:ser>
          <c:idx val="1"/>
          <c:order val="1"/>
          <c:tx>
            <c:v>Site 1.2</c:v>
          </c:tx>
          <c:spPr>
            <a:solidFill>
              <a:schemeClr val="accent1"/>
            </a:solidFill>
            <a:ln w="12700" cap="flat">
              <a:noFill/>
              <a:miter lim="400000"/>
            </a:ln>
            <a:effectLst/>
          </c:spPr>
          <c:invertIfNegative val="0"/>
          <c:errBars>
            <c:errBarType val="both"/>
            <c:errValType val="cust"/>
            <c:noEndCap val="0"/>
            <c:plus>
              <c:numRef>
                <c:f>([4]blaSHV!$M$10,[4]blaSHV!$M$33,[4]blaSHV!$M$56,[4]blaSHV!$M$79)</c:f>
                <c:numCache>
                  <c:formatCode>General</c:formatCode>
                  <c:ptCount val="4"/>
                  <c:pt idx="0">
                    <c:v>0</c:v>
                  </c:pt>
                  <c:pt idx="1">
                    <c:v>721.50637628897402</c:v>
                  </c:pt>
                  <c:pt idx="2">
                    <c:v>202.023663288634</c:v>
                  </c:pt>
                  <c:pt idx="3">
                    <c:v>0</c:v>
                  </c:pt>
                </c:numCache>
              </c:numRef>
            </c:plus>
            <c:minus>
              <c:numRef>
                <c:f>([4]blaSHV!$M$10,[4]blaSHV!$M$33,[4]blaSHV!$M$56,[4]blaSHV!$M$79)</c:f>
                <c:numCache>
                  <c:formatCode>General</c:formatCode>
                  <c:ptCount val="4"/>
                  <c:pt idx="0">
                    <c:v>0</c:v>
                  </c:pt>
                  <c:pt idx="1">
                    <c:v>721.50637628897402</c:v>
                  </c:pt>
                  <c:pt idx="2">
                    <c:v>202.023663288634</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([4]blaSHV!$K$10,[4]blaSHV!$K$33,[4]blaSHV!$K$56,[4]blaSHV!$K$79)</c:f>
              <c:numCache>
                <c:formatCode>General</c:formatCode>
                <c:ptCount val="4"/>
                <c:pt idx="0">
                  <c:v>0</c:v>
                </c:pt>
                <c:pt idx="1">
                  <c:v>2010.9704292688889</c:v>
                </c:pt>
                <c:pt idx="2">
                  <c:v>376.29999160766602</c:v>
                </c:pt>
                <c:pt idx="3">
                  <c:v>0</c:v>
                </c:pt>
              </c:numCache>
            </c:numRef>
          </c:val>
          <c:extLst>
            <c:ext xmlns:c16="http://schemas.microsoft.com/office/drawing/2014/chart" uri="{C3380CC4-5D6E-409C-BE32-E72D297353CC}">
              <c16:uniqueId val="{00000001-8554-4607-B2BB-79F345827D52}"/>
            </c:ext>
          </c:extLst>
        </c:ser>
        <c:ser>
          <c:idx val="2"/>
          <c:order val="2"/>
          <c:tx>
            <c:v>Site 1.3</c:v>
          </c:tx>
          <c:spPr>
            <a:solidFill>
              <a:schemeClr val="accent1"/>
            </a:solidFill>
            <a:ln w="12700" cap="flat">
              <a:noFill/>
              <a:miter lim="400000"/>
            </a:ln>
            <a:effectLst/>
          </c:spPr>
          <c:invertIfNegative val="0"/>
          <c:errBars>
            <c:errBarType val="both"/>
            <c:errValType val="cust"/>
            <c:noEndCap val="0"/>
            <c:plus>
              <c:numRef>
                <c:f>([4]blaSHV!$M$11,[4]blaSHV!$M$34,[4]blaSHV!$M$57,[4]blaSHV!$M$80)</c:f>
                <c:numCache>
                  <c:formatCode>General</c:formatCode>
                  <c:ptCount val="4"/>
                  <c:pt idx="0">
                    <c:v>0</c:v>
                  </c:pt>
                  <c:pt idx="1">
                    <c:v>185.6832186301412</c:v>
                  </c:pt>
                  <c:pt idx="2">
                    <c:v>0</c:v>
                  </c:pt>
                  <c:pt idx="3">
                    <c:v>0</c:v>
                  </c:pt>
                </c:numCache>
              </c:numRef>
            </c:plus>
            <c:minus>
              <c:numRef>
                <c:f>([4]blaSHV!$M$11,[4]blaSHV!$M$34,[4]blaSHV!$M$57,[4]blaSHV!$M$80)</c:f>
                <c:numCache>
                  <c:formatCode>General</c:formatCode>
                  <c:ptCount val="4"/>
                  <c:pt idx="0">
                    <c:v>0</c:v>
                  </c:pt>
                  <c:pt idx="1">
                    <c:v>185.6832186301412</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([4]blaSHV!$K$11,[4]blaSHV!$K$34,[4]blaSHV!$K$57,[4]blaSHV!$K$80)</c:f>
              <c:numCache>
                <c:formatCode>General</c:formatCode>
                <c:ptCount val="4"/>
                <c:pt idx="0">
                  <c:v>0</c:v>
                </c:pt>
                <c:pt idx="1">
                  <c:v>551.8022467466667</c:v>
                </c:pt>
                <c:pt idx="2">
                  <c:v>0</c:v>
                </c:pt>
                <c:pt idx="3">
                  <c:v>0</c:v>
                </c:pt>
              </c:numCache>
            </c:numRef>
          </c:val>
          <c:extLst>
            <c:ext xmlns:c16="http://schemas.microsoft.com/office/drawing/2014/chart" uri="{C3380CC4-5D6E-409C-BE32-E72D297353CC}">
              <c16:uniqueId val="{00000002-8554-4607-B2BB-79F345827D52}"/>
            </c:ext>
          </c:extLst>
        </c:ser>
        <c:ser>
          <c:idx val="3"/>
          <c:order val="3"/>
          <c:tx>
            <c:v>Park 2</c:v>
          </c:tx>
          <c:spPr>
            <a:solidFill>
              <a:schemeClr val="accent2"/>
            </a:solidFill>
            <a:ln w="12700" cap="flat">
              <a:solidFill>
                <a:schemeClr val="accent2"/>
              </a:solidFill>
              <a:miter lim="400000"/>
            </a:ln>
            <a:effectLst/>
          </c:spPr>
          <c:invertIfNegative val="0"/>
          <c:errBars>
            <c:errBarType val="both"/>
            <c:errValType val="cust"/>
            <c:noEndCap val="0"/>
            <c:plus>
              <c:numRef>
                <c:f>([4]blaSHV!$M$12,[4]blaSHV!$M$35,[4]blaSHV!$M$58,[4]blaSHV!$M$81)</c:f>
                <c:numCache>
                  <c:formatCode>General</c:formatCode>
                  <c:ptCount val="4"/>
                  <c:pt idx="0">
                    <c:v>23.04485098050483</c:v>
                  </c:pt>
                  <c:pt idx="1">
                    <c:v>747.36099393448762</c:v>
                  </c:pt>
                  <c:pt idx="2">
                    <c:v>0</c:v>
                  </c:pt>
                  <c:pt idx="3">
                    <c:v>0</c:v>
                  </c:pt>
                </c:numCache>
              </c:numRef>
            </c:plus>
            <c:minus>
              <c:numRef>
                <c:f>([4]blaSHV!$M$12,[4]blaSHV!$M$35,[4]blaSHV!$M$58,[4]blaSHV!$M$81)</c:f>
                <c:numCache>
                  <c:formatCode>General</c:formatCode>
                  <c:ptCount val="4"/>
                  <c:pt idx="0">
                    <c:v>23.04485098050483</c:v>
                  </c:pt>
                  <c:pt idx="1">
                    <c:v>747.36099393448762</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([4]blaSHV!$K$12,[4]blaSHV!$K$35,[4]blaSHV!$K$58,[4]blaSHV!$K$81)</c:f>
              <c:numCache>
                <c:formatCode>General</c:formatCode>
                <c:ptCount val="4"/>
                <c:pt idx="0">
                  <c:v>32.190568389164071</c:v>
                </c:pt>
                <c:pt idx="1">
                  <c:v>2684.8109651999998</c:v>
                </c:pt>
                <c:pt idx="2">
                  <c:v>0</c:v>
                </c:pt>
                <c:pt idx="3">
                  <c:v>0</c:v>
                </c:pt>
              </c:numCache>
            </c:numRef>
          </c:val>
          <c:extLst>
            <c:ext xmlns:c16="http://schemas.microsoft.com/office/drawing/2014/chart" uri="{C3380CC4-5D6E-409C-BE32-E72D297353CC}">
              <c16:uniqueId val="{00000003-8554-4607-B2BB-79F345827D52}"/>
            </c:ext>
          </c:extLst>
        </c:ser>
        <c:ser>
          <c:idx val="4"/>
          <c:order val="4"/>
          <c:tx>
            <c:v>Site 2.2</c:v>
          </c:tx>
          <c:spPr>
            <a:solidFill>
              <a:schemeClr val="accent2"/>
            </a:solidFill>
            <a:ln w="12700" cap="flat">
              <a:noFill/>
              <a:miter lim="400000"/>
            </a:ln>
            <a:effectLst/>
          </c:spPr>
          <c:invertIfNegative val="0"/>
          <c:errBars>
            <c:errBarType val="both"/>
            <c:errValType val="cust"/>
            <c:noEndCap val="0"/>
            <c:plus>
              <c:numRef>
                <c:f>([4]blaSHV!$M$13,[4]blaSHV!$M$36,[4]blaSHV!$M$59,[4]blaSHV!$M$82)</c:f>
                <c:numCache>
                  <c:formatCode>General</c:formatCode>
                  <c:ptCount val="4"/>
                  <c:pt idx="0">
                    <c:v>0</c:v>
                  </c:pt>
                  <c:pt idx="1">
                    <c:v>578.37461027705695</c:v>
                  </c:pt>
                  <c:pt idx="2">
                    <c:v>178.24282884597801</c:v>
                  </c:pt>
                  <c:pt idx="3">
                    <c:v>0</c:v>
                  </c:pt>
                </c:numCache>
              </c:numRef>
            </c:plus>
            <c:minus>
              <c:numRef>
                <c:f>([4]blaSHV!$M$13,[4]blaSHV!$M$36,[4]blaSHV!$M$59,[4]blaSHV!$M$82)</c:f>
                <c:numCache>
                  <c:formatCode>General</c:formatCode>
                  <c:ptCount val="4"/>
                  <c:pt idx="0">
                    <c:v>0</c:v>
                  </c:pt>
                  <c:pt idx="1">
                    <c:v>578.37461027705695</c:v>
                  </c:pt>
                  <c:pt idx="2">
                    <c:v>178.24282884597801</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([4]blaSHV!$K$13,[4]blaSHV!$K$36,[4]blaSHV!$K$59,[4]blaSHV!$K$82)</c:f>
              <c:numCache>
                <c:formatCode>General</c:formatCode>
                <c:ptCount val="4"/>
                <c:pt idx="0">
                  <c:v>0</c:v>
                </c:pt>
                <c:pt idx="1">
                  <c:v>2085.7106176333332</c:v>
                </c:pt>
                <c:pt idx="2">
                  <c:v>508.90699307123822</c:v>
                </c:pt>
                <c:pt idx="3">
                  <c:v>0</c:v>
                </c:pt>
              </c:numCache>
            </c:numRef>
          </c:val>
          <c:extLst>
            <c:ext xmlns:c16="http://schemas.microsoft.com/office/drawing/2014/chart" uri="{C3380CC4-5D6E-409C-BE32-E72D297353CC}">
              <c16:uniqueId val="{00000004-8554-4607-B2BB-79F345827D52}"/>
            </c:ext>
          </c:extLst>
        </c:ser>
        <c:ser>
          <c:idx val="5"/>
          <c:order val="5"/>
          <c:tx>
            <c:v>Site 2.3</c:v>
          </c:tx>
          <c:spPr>
            <a:solidFill>
              <a:schemeClr val="accent2"/>
            </a:solidFill>
            <a:ln w="12700" cap="flat">
              <a:noFill/>
              <a:miter lim="400000"/>
            </a:ln>
            <a:effectLst/>
          </c:spPr>
          <c:invertIfNegative val="0"/>
          <c:errBars>
            <c:errBarType val="both"/>
            <c:errValType val="cust"/>
            <c:noEndCap val="0"/>
            <c:plus>
              <c:numRef>
                <c:f>([4]blaSHV!$M$14,[4]blaSHV!$M$37,[4]blaSHV!$M$60,[4]blaSHV!$M$83)</c:f>
                <c:numCache>
                  <c:formatCode>General</c:formatCode>
                  <c:ptCount val="4"/>
                  <c:pt idx="0">
                    <c:v>0</c:v>
                  </c:pt>
                  <c:pt idx="1">
                    <c:v>8.7148276610659572</c:v>
                  </c:pt>
                  <c:pt idx="2">
                    <c:v>0</c:v>
                  </c:pt>
                  <c:pt idx="3">
                    <c:v>0</c:v>
                  </c:pt>
                </c:numCache>
              </c:numRef>
            </c:plus>
            <c:minus>
              <c:numRef>
                <c:f>([4]blaSHV!$M$14,[4]blaSHV!$M$37,[4]blaSHV!$M$60,[4]blaSHV!$M$83)</c:f>
                <c:numCache>
                  <c:formatCode>General</c:formatCode>
                  <c:ptCount val="4"/>
                  <c:pt idx="0">
                    <c:v>0</c:v>
                  </c:pt>
                  <c:pt idx="1">
                    <c:v>8.7148276610659572</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([4]blaSHV!$K$14,[4]blaSHV!$K$37,[4]blaSHV!$K$60,[4]blaSHV!$K$83)</c:f>
              <c:numCache>
                <c:formatCode>General</c:formatCode>
                <c:ptCount val="4"/>
                <c:pt idx="0">
                  <c:v>0</c:v>
                </c:pt>
                <c:pt idx="1">
                  <c:v>603.44886779999786</c:v>
                </c:pt>
                <c:pt idx="2">
                  <c:v>0</c:v>
                </c:pt>
                <c:pt idx="3">
                  <c:v>0</c:v>
                </c:pt>
              </c:numCache>
            </c:numRef>
          </c:val>
          <c:extLst>
            <c:ext xmlns:c16="http://schemas.microsoft.com/office/drawing/2014/chart" uri="{C3380CC4-5D6E-409C-BE32-E72D297353CC}">
              <c16:uniqueId val="{00000005-8554-4607-B2BB-79F345827D52}"/>
            </c:ext>
          </c:extLst>
        </c:ser>
        <c:ser>
          <c:idx val="6"/>
          <c:order val="6"/>
          <c:tx>
            <c:v>Park 3</c:v>
          </c:tx>
          <c:spPr>
            <a:solidFill>
              <a:srgbClr val="A6A6A6"/>
            </a:solidFill>
            <a:ln w="12700" cap="flat">
              <a:solidFill>
                <a:schemeClr val="bg1">
                  <a:lumMod val="65000"/>
                </a:schemeClr>
              </a:solidFill>
              <a:miter lim="400000"/>
            </a:ln>
            <a:effectLst/>
          </c:spPr>
          <c:invertIfNegative val="0"/>
          <c:errBars>
            <c:errBarType val="both"/>
            <c:errValType val="cust"/>
            <c:noEndCap val="0"/>
            <c:plus>
              <c:numRef>
                <c:f>([4]blaSHV!$M$15,[4]blaSHV!$M$38,[4]blaSHV!$M$61,[4]blaSHV!$M$84)</c:f>
                <c:numCache>
                  <c:formatCode>General</c:formatCode>
                  <c:ptCount val="4"/>
                  <c:pt idx="0">
                    <c:v>1.718912072806952</c:v>
                  </c:pt>
                  <c:pt idx="1">
                    <c:v>686.19401085085815</c:v>
                  </c:pt>
                  <c:pt idx="2">
                    <c:v>0</c:v>
                  </c:pt>
                  <c:pt idx="3">
                    <c:v>0</c:v>
                  </c:pt>
                </c:numCache>
              </c:numRef>
            </c:plus>
            <c:minus>
              <c:numRef>
                <c:f>([4]blaSHV!$M$15,[4]blaSHV!$M$38,[4]blaSHV!$M$61,[4]blaSHV!$M$84)</c:f>
                <c:numCache>
                  <c:formatCode>General</c:formatCode>
                  <c:ptCount val="4"/>
                  <c:pt idx="0">
                    <c:v>1.718912072806952</c:v>
                  </c:pt>
                  <c:pt idx="1">
                    <c:v>686.19401085085815</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([4]blaSHV!$K$15,[4]blaSHV!$K$38,[4]blaSHV!$K$61,[4]blaSHV!$K$84)</c:f>
              <c:numCache>
                <c:formatCode>General</c:formatCode>
                <c:ptCount val="4"/>
                <c:pt idx="0">
                  <c:v>6.8326558358967286</c:v>
                </c:pt>
                <c:pt idx="1">
                  <c:v>2981.9186273333339</c:v>
                </c:pt>
                <c:pt idx="2">
                  <c:v>0</c:v>
                </c:pt>
                <c:pt idx="3">
                  <c:v>0</c:v>
                </c:pt>
              </c:numCache>
            </c:numRef>
          </c:val>
          <c:extLst>
            <c:ext xmlns:c16="http://schemas.microsoft.com/office/drawing/2014/chart" uri="{C3380CC4-5D6E-409C-BE32-E72D297353CC}">
              <c16:uniqueId val="{00000006-8554-4607-B2BB-79F345827D52}"/>
            </c:ext>
          </c:extLst>
        </c:ser>
        <c:ser>
          <c:idx val="7"/>
          <c:order val="7"/>
          <c:tx>
            <c:v>Site 3.2</c:v>
          </c:tx>
          <c:spPr>
            <a:solidFill>
              <a:srgbClr val="A7A7A7"/>
            </a:solidFill>
            <a:ln w="12700" cap="flat">
              <a:noFill/>
              <a:miter lim="400000"/>
            </a:ln>
            <a:effectLst/>
          </c:spPr>
          <c:invertIfNegative val="0"/>
          <c:errBars>
            <c:errBarType val="both"/>
            <c:errValType val="cust"/>
            <c:noEndCap val="0"/>
            <c:plus>
              <c:numRef>
                <c:f>([4]blaSHV!$M$16,[4]blaSHV!$M$39,[4]blaSHV!$M$62,[4]blaSHV!$M$85)</c:f>
                <c:numCache>
                  <c:formatCode>General</c:formatCode>
                  <c:ptCount val="4"/>
                  <c:pt idx="0">
                    <c:v>0</c:v>
                  </c:pt>
                  <c:pt idx="1">
                    <c:v>1186.4538123341711</c:v>
                  </c:pt>
                  <c:pt idx="2">
                    <c:v>0</c:v>
                  </c:pt>
                  <c:pt idx="3">
                    <c:v>0</c:v>
                  </c:pt>
                </c:numCache>
              </c:numRef>
            </c:plus>
            <c:minus>
              <c:numRef>
                <c:f>([4]blaSHV!$M$16,[4]blaSHV!$M$39,[4]blaSHV!$M$62,[4]blaSHV!$M$85)</c:f>
                <c:numCache>
                  <c:formatCode>General</c:formatCode>
                  <c:ptCount val="4"/>
                  <c:pt idx="0">
                    <c:v>0</c:v>
                  </c:pt>
                  <c:pt idx="1">
                    <c:v>1186.4538123341711</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([4]blaSHV!$K$16,[4]blaSHV!$K$39,[4]blaSHV!$K$62,[4]blaSHV!$K$85)</c:f>
              <c:numCache>
                <c:formatCode>General</c:formatCode>
                <c:ptCount val="4"/>
                <c:pt idx="0">
                  <c:v>0</c:v>
                </c:pt>
                <c:pt idx="1">
                  <c:v>2867.9287242199989</c:v>
                </c:pt>
                <c:pt idx="2">
                  <c:v>0</c:v>
                </c:pt>
                <c:pt idx="3">
                  <c:v>0</c:v>
                </c:pt>
              </c:numCache>
            </c:numRef>
          </c:val>
          <c:extLst>
            <c:ext xmlns:c16="http://schemas.microsoft.com/office/drawing/2014/chart" uri="{C3380CC4-5D6E-409C-BE32-E72D297353CC}">
              <c16:uniqueId val="{00000007-8554-4607-B2BB-79F345827D52}"/>
            </c:ext>
          </c:extLst>
        </c:ser>
        <c:ser>
          <c:idx val="8"/>
          <c:order val="8"/>
          <c:tx>
            <c:v>Site 3.3</c:v>
          </c:tx>
          <c:spPr>
            <a:solidFill>
              <a:srgbClr val="A7A7A7"/>
            </a:solidFill>
            <a:ln w="12700" cap="flat">
              <a:noFill/>
              <a:miter lim="400000"/>
            </a:ln>
            <a:effectLst/>
          </c:spPr>
          <c:invertIfNegative val="0"/>
          <c:errBars>
            <c:errBarType val="both"/>
            <c:errValType val="cust"/>
            <c:noEndCap val="0"/>
            <c:plus>
              <c:numRef>
                <c:f>([4]blaSHV!$M$17,[4]blaSHV!$M$40,[4]blaSHV!$M$63,[4]blaSHV!$M$86)</c:f>
                <c:numCache>
                  <c:formatCode>General</c:formatCode>
                  <c:ptCount val="4"/>
                  <c:pt idx="0">
                    <c:v>0.88562259266293897</c:v>
                  </c:pt>
                  <c:pt idx="1">
                    <c:v>124.98587339574119</c:v>
                  </c:pt>
                  <c:pt idx="2">
                    <c:v>0</c:v>
                  </c:pt>
                  <c:pt idx="3">
                    <c:v>0</c:v>
                  </c:pt>
                </c:numCache>
              </c:numRef>
            </c:plus>
            <c:minus>
              <c:numRef>
                <c:f>([4]blaSHV!$M$17,[4]blaSHV!$M$40,[4]blaSHV!$M$63,[4]blaSHV!$M$86)</c:f>
                <c:numCache>
                  <c:formatCode>General</c:formatCode>
                  <c:ptCount val="4"/>
                  <c:pt idx="0">
                    <c:v>0.88562259266293897</c:v>
                  </c:pt>
                  <c:pt idx="1">
                    <c:v>124.98587339574119</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([4]blaSHV!$K$17,[4]blaSHV!$K$40,[4]blaSHV!$K$63,[4]blaSHV!$K$86)</c:f>
              <c:numCache>
                <c:formatCode>General</c:formatCode>
                <c:ptCount val="4"/>
                <c:pt idx="0">
                  <c:v>3.8003592689832049</c:v>
                </c:pt>
                <c:pt idx="1">
                  <c:v>547.63506890999997</c:v>
                </c:pt>
                <c:pt idx="2">
                  <c:v>0</c:v>
                </c:pt>
                <c:pt idx="3">
                  <c:v>0</c:v>
                </c:pt>
              </c:numCache>
            </c:numRef>
          </c:val>
          <c:extLst>
            <c:ext xmlns:c16="http://schemas.microsoft.com/office/drawing/2014/chart" uri="{C3380CC4-5D6E-409C-BE32-E72D297353CC}">
              <c16:uniqueId val="{00000008-8554-4607-B2BB-79F345827D52}"/>
            </c:ext>
          </c:extLst>
        </c:ser>
        <c:ser>
          <c:idx val="9"/>
          <c:order val="9"/>
          <c:tx>
            <c:v>Park 4</c:v>
          </c:tx>
          <c:spPr>
            <a:solidFill>
              <a:schemeClr val="accent4"/>
            </a:solidFill>
            <a:ln w="12700" cap="flat">
              <a:solidFill>
                <a:schemeClr val="accent4"/>
              </a:solidFill>
              <a:miter lim="400000"/>
            </a:ln>
            <a:effectLst/>
          </c:spPr>
          <c:invertIfNegative val="0"/>
          <c:errBars>
            <c:errBarType val="both"/>
            <c:errValType val="cust"/>
            <c:noEndCap val="0"/>
            <c:plus>
              <c:numRef>
                <c:f>([4]blaSHV!$M$18,[4]blaSHV!$M$41,[4]blaSHV!$M$64,[4]blaSHV!$M$87)</c:f>
                <c:numCache>
                  <c:formatCode>General</c:formatCode>
                  <c:ptCount val="4"/>
                  <c:pt idx="0">
                    <c:v>0</c:v>
                  </c:pt>
                  <c:pt idx="1">
                    <c:v>853.61613320022752</c:v>
                  </c:pt>
                  <c:pt idx="2">
                    <c:v>0</c:v>
                  </c:pt>
                  <c:pt idx="3">
                    <c:v>0</c:v>
                  </c:pt>
                </c:numCache>
              </c:numRef>
            </c:plus>
            <c:minus>
              <c:numRef>
                <c:f>([4]blaSHV!$M$18,[4]blaSHV!$M$41,[4]blaSHV!$M$64,[4]blaSHV!$M$87)</c:f>
                <c:numCache>
                  <c:formatCode>General</c:formatCode>
                  <c:ptCount val="4"/>
                  <c:pt idx="0">
                    <c:v>0</c:v>
                  </c:pt>
                  <c:pt idx="1">
                    <c:v>853.61613320022752</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([4]blaSHV!$K$18,[4]blaSHV!$K$41,[4]blaSHV!$K$64,[4]blaSHV!$K$87)</c:f>
              <c:numCache>
                <c:formatCode>General</c:formatCode>
                <c:ptCount val="4"/>
                <c:pt idx="0">
                  <c:v>0</c:v>
                </c:pt>
                <c:pt idx="1">
                  <c:v>3093.9699310133328</c:v>
                </c:pt>
                <c:pt idx="2">
                  <c:v>0</c:v>
                </c:pt>
                <c:pt idx="3">
                  <c:v>0</c:v>
                </c:pt>
              </c:numCache>
            </c:numRef>
          </c:val>
          <c:extLst>
            <c:ext xmlns:c16="http://schemas.microsoft.com/office/drawing/2014/chart" uri="{C3380CC4-5D6E-409C-BE32-E72D297353CC}">
              <c16:uniqueId val="{00000009-8554-4607-B2BB-79F345827D52}"/>
            </c:ext>
          </c:extLst>
        </c:ser>
        <c:ser>
          <c:idx val="10"/>
          <c:order val="10"/>
          <c:tx>
            <c:v>Site 4.2</c:v>
          </c:tx>
          <c:spPr>
            <a:solidFill>
              <a:schemeClr val="accent4"/>
            </a:solidFill>
            <a:ln w="12700" cap="flat">
              <a:noFill/>
              <a:miter lim="400000"/>
            </a:ln>
            <a:effectLst/>
          </c:spPr>
          <c:invertIfNegative val="0"/>
          <c:errBars>
            <c:errBarType val="both"/>
            <c:errValType val="cust"/>
            <c:noEndCap val="0"/>
            <c:plus>
              <c:numRef>
                <c:f>([4]blaSHV!$M$19,[4]blaSHV!$M$42,[4]blaSHV!$M$65,[4]blaSHV!$M$88)</c:f>
                <c:numCache>
                  <c:formatCode>General</c:formatCode>
                  <c:ptCount val="4"/>
                  <c:pt idx="0">
                    <c:v>0</c:v>
                  </c:pt>
                  <c:pt idx="1">
                    <c:v>203.0363966029534</c:v>
                  </c:pt>
                  <c:pt idx="2">
                    <c:v>0</c:v>
                  </c:pt>
                  <c:pt idx="3">
                    <c:v>0</c:v>
                  </c:pt>
                </c:numCache>
              </c:numRef>
            </c:plus>
            <c:minus>
              <c:numRef>
                <c:f>([4]blaSHV!$M$19,[4]blaSHV!$M$42,[4]blaSHV!$M$65,[4]blaSHV!$M$88)</c:f>
                <c:numCache>
                  <c:formatCode>General</c:formatCode>
                  <c:ptCount val="4"/>
                  <c:pt idx="0">
                    <c:v>0</c:v>
                  </c:pt>
                  <c:pt idx="1">
                    <c:v>203.0363966029534</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([4]blaSHV!$K$19,[4]blaSHV!$K$42,[4]blaSHV!$K$65,[4]blaSHV!$K$88)</c:f>
              <c:numCache>
                <c:formatCode>General</c:formatCode>
                <c:ptCount val="4"/>
                <c:pt idx="0">
                  <c:v>0</c:v>
                </c:pt>
                <c:pt idx="1">
                  <c:v>2062.9764398833331</c:v>
                </c:pt>
                <c:pt idx="2">
                  <c:v>0</c:v>
                </c:pt>
                <c:pt idx="3">
                  <c:v>0</c:v>
                </c:pt>
              </c:numCache>
            </c:numRef>
          </c:val>
          <c:extLst>
            <c:ext xmlns:c16="http://schemas.microsoft.com/office/drawing/2014/chart" uri="{C3380CC4-5D6E-409C-BE32-E72D297353CC}">
              <c16:uniqueId val="{0000000A-8554-4607-B2BB-79F345827D52}"/>
            </c:ext>
          </c:extLst>
        </c:ser>
        <c:ser>
          <c:idx val="11"/>
          <c:order val="11"/>
          <c:tx>
            <c:v>Site 4.3</c:v>
          </c:tx>
          <c:spPr>
            <a:solidFill>
              <a:schemeClr val="accent4"/>
            </a:solidFill>
            <a:ln w="12700" cap="flat">
              <a:noFill/>
              <a:miter lim="400000"/>
            </a:ln>
            <a:effectLst/>
          </c:spPr>
          <c:invertIfNegative val="0"/>
          <c:errBars>
            <c:errBarType val="both"/>
            <c:errValType val="cust"/>
            <c:noEndCap val="0"/>
            <c:plus>
              <c:numRef>
                <c:f>([4]blaSHV!$M$20,[4]blaSHV!$M$43,[4]blaSHV!$M$66,[4]blaSHV!$M$89)</c:f>
                <c:numCache>
                  <c:formatCode>General</c:formatCode>
                  <c:ptCount val="4"/>
                  <c:pt idx="0">
                    <c:v>12.276733170039471</c:v>
                  </c:pt>
                  <c:pt idx="1">
                    <c:v>702.85045224177759</c:v>
                  </c:pt>
                  <c:pt idx="2">
                    <c:v>0</c:v>
                  </c:pt>
                  <c:pt idx="3">
                    <c:v>0</c:v>
                  </c:pt>
                </c:numCache>
              </c:numRef>
            </c:plus>
            <c:minus>
              <c:numRef>
                <c:f>([4]blaSHV!$M$20,[4]blaSHV!$M$43,[4]blaSHV!$M$66,[4]blaSHV!$M$89)</c:f>
                <c:numCache>
                  <c:formatCode>General</c:formatCode>
                  <c:ptCount val="4"/>
                  <c:pt idx="0">
                    <c:v>12.276733170039471</c:v>
                  </c:pt>
                  <c:pt idx="1">
                    <c:v>702.85045224177759</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([4]blaSHV!$K$20,[4]blaSHV!$K$43,[4]blaSHV!$K$66,[4]blaSHV!$K$89)</c:f>
              <c:numCache>
                <c:formatCode>General</c:formatCode>
                <c:ptCount val="4"/>
                <c:pt idx="0">
                  <c:v>15.81460138161977</c:v>
                </c:pt>
                <c:pt idx="1">
                  <c:v>2301.56091062</c:v>
                </c:pt>
                <c:pt idx="2">
                  <c:v>0</c:v>
                </c:pt>
                <c:pt idx="3">
                  <c:v>0</c:v>
                </c:pt>
              </c:numCache>
            </c:numRef>
          </c:val>
          <c:extLst>
            <c:ext xmlns:c16="http://schemas.microsoft.com/office/drawing/2014/chart" uri="{C3380CC4-5D6E-409C-BE32-E72D297353CC}">
              <c16:uniqueId val="{0000000B-8554-4607-B2BB-79F345827D52}"/>
            </c:ext>
          </c:extLst>
        </c:ser>
        <c:ser>
          <c:idx val="12"/>
          <c:order val="12"/>
          <c:tx>
            <c:v>Park 5</c:v>
          </c:tx>
          <c:spPr>
            <a:solidFill>
              <a:schemeClr val="accent5"/>
            </a:solidFill>
            <a:ln w="12700" cap="flat">
              <a:solidFill>
                <a:schemeClr val="accent5"/>
              </a:solidFill>
              <a:miter lim="400000"/>
            </a:ln>
            <a:effectLst/>
          </c:spPr>
          <c:invertIfNegative val="0"/>
          <c:errBars>
            <c:errBarType val="both"/>
            <c:errValType val="cust"/>
            <c:noEndCap val="0"/>
            <c:plus>
              <c:numRef>
                <c:f>([4]blaSHV!$M$21,[4]blaSHV!$M$44,[4]blaSHV!$M$67,[4]blaSHV!$M$90)</c:f>
                <c:numCache>
                  <c:formatCode>General</c:formatCode>
                  <c:ptCount val="4"/>
                  <c:pt idx="0">
                    <c:v>0</c:v>
                  </c:pt>
                  <c:pt idx="1">
                    <c:v>539.13018453081952</c:v>
                  </c:pt>
                  <c:pt idx="2">
                    <c:v>260.56649501168022</c:v>
                  </c:pt>
                  <c:pt idx="3">
                    <c:v>0</c:v>
                  </c:pt>
                </c:numCache>
              </c:numRef>
            </c:plus>
            <c:minus>
              <c:numRef>
                <c:f>([4]blaSHV!$M$21,[4]blaSHV!$M$44,[4]blaSHV!$M$67,[4]blaSHV!$M$90)</c:f>
                <c:numCache>
                  <c:formatCode>General</c:formatCode>
                  <c:ptCount val="4"/>
                  <c:pt idx="0">
                    <c:v>0</c:v>
                  </c:pt>
                  <c:pt idx="1">
                    <c:v>539.13018453081952</c:v>
                  </c:pt>
                  <c:pt idx="2">
                    <c:v>260.56649501168022</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([4]blaSHV!$K$21,[4]blaSHV!$K$44,[4]blaSHV!$K$67,[4]blaSHV!$K$90)</c:f>
              <c:numCache>
                <c:formatCode>General</c:formatCode>
                <c:ptCount val="4"/>
                <c:pt idx="0">
                  <c:v>0</c:v>
                </c:pt>
                <c:pt idx="1">
                  <c:v>2739.0597501466668</c:v>
                </c:pt>
                <c:pt idx="2">
                  <c:v>1205.42871899075</c:v>
                </c:pt>
                <c:pt idx="3">
                  <c:v>0</c:v>
                </c:pt>
              </c:numCache>
            </c:numRef>
          </c:val>
          <c:extLst>
            <c:ext xmlns:c16="http://schemas.microsoft.com/office/drawing/2014/chart" uri="{C3380CC4-5D6E-409C-BE32-E72D297353CC}">
              <c16:uniqueId val="{0000000C-8554-4607-B2BB-79F345827D52}"/>
            </c:ext>
          </c:extLst>
        </c:ser>
        <c:ser>
          <c:idx val="13"/>
          <c:order val="13"/>
          <c:tx>
            <c:v>Site 5.2</c:v>
          </c:tx>
          <c:spPr>
            <a:solidFill>
              <a:schemeClr val="accent5"/>
            </a:solidFill>
            <a:ln w="12700" cap="flat">
              <a:noFill/>
              <a:miter lim="400000"/>
            </a:ln>
            <a:effectLst/>
          </c:spPr>
          <c:invertIfNegative val="0"/>
          <c:errBars>
            <c:errBarType val="both"/>
            <c:errValType val="cust"/>
            <c:noEndCap val="0"/>
            <c:plus>
              <c:numRef>
                <c:f>([4]blaSHV!$M$22,[4]blaSHV!$M$45,[4]blaSHV!$M$68,[4]blaSHV!$M$91)</c:f>
                <c:numCache>
                  <c:formatCode>General</c:formatCode>
                  <c:ptCount val="4"/>
                  <c:pt idx="0">
                    <c:v>17.593395604337751</c:v>
                  </c:pt>
                  <c:pt idx="1">
                    <c:v>2325.874986186298</c:v>
                  </c:pt>
                  <c:pt idx="2">
                    <c:v>0</c:v>
                  </c:pt>
                  <c:pt idx="3">
                    <c:v>0</c:v>
                  </c:pt>
                </c:numCache>
              </c:numRef>
            </c:plus>
            <c:minus>
              <c:numRef>
                <c:f>([4]blaSHV!$M$22,[4]blaSHV!$M$45,[4]blaSHV!$M$68,[4]blaSHV!$M$91)</c:f>
                <c:numCache>
                  <c:formatCode>General</c:formatCode>
                  <c:ptCount val="4"/>
                  <c:pt idx="0">
                    <c:v>17.593395604337751</c:v>
                  </c:pt>
                  <c:pt idx="1">
                    <c:v>2325.874986186298</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([4]blaSHV!$K$22,[4]blaSHV!$K$45,[4]blaSHV!$K$68,[4]blaSHV!$K$91)</c:f>
              <c:numCache>
                <c:formatCode>General</c:formatCode>
                <c:ptCount val="4"/>
                <c:pt idx="0">
                  <c:v>27.017276363136869</c:v>
                </c:pt>
                <c:pt idx="1">
                  <c:v>9972.5888484499992</c:v>
                </c:pt>
                <c:pt idx="2">
                  <c:v>0</c:v>
                </c:pt>
                <c:pt idx="3">
                  <c:v>0</c:v>
                </c:pt>
              </c:numCache>
            </c:numRef>
          </c:val>
          <c:extLst>
            <c:ext xmlns:c16="http://schemas.microsoft.com/office/drawing/2014/chart" uri="{C3380CC4-5D6E-409C-BE32-E72D297353CC}">
              <c16:uniqueId val="{0000000D-8554-4607-B2BB-79F345827D52}"/>
            </c:ext>
          </c:extLst>
        </c:ser>
        <c:ser>
          <c:idx val="14"/>
          <c:order val="14"/>
          <c:tx>
            <c:v>Site 5.3</c:v>
          </c:tx>
          <c:spPr>
            <a:solidFill>
              <a:schemeClr val="accent5"/>
            </a:solidFill>
            <a:ln w="12700" cap="flat">
              <a:noFill/>
              <a:miter lim="400000"/>
            </a:ln>
            <a:effectLst/>
          </c:spPr>
          <c:invertIfNegative val="0"/>
          <c:errBars>
            <c:errBarType val="both"/>
            <c:errValType val="cust"/>
            <c:noEndCap val="0"/>
            <c:plus>
              <c:numRef>
                <c:f>([4]blaSHV!$M$23,[4]blaSHV!$M$46,[4]blaSHV!$M$69,[4]blaSHV!$M$92)</c:f>
                <c:numCache>
                  <c:formatCode>General</c:formatCode>
                  <c:ptCount val="4"/>
                  <c:pt idx="0">
                    <c:v>15.6967395351466</c:v>
                  </c:pt>
                  <c:pt idx="1">
                    <c:v>466.73724361856227</c:v>
                  </c:pt>
                  <c:pt idx="2">
                    <c:v>0</c:v>
                  </c:pt>
                  <c:pt idx="3">
                    <c:v>0</c:v>
                  </c:pt>
                </c:numCache>
              </c:numRef>
            </c:plus>
            <c:minus>
              <c:numRef>
                <c:f>([4]blaSHV!$M$23,[4]blaSHV!$M$46,[4]blaSHV!$M$69,[4]blaSHV!$M$92)</c:f>
                <c:numCache>
                  <c:formatCode>General</c:formatCode>
                  <c:ptCount val="4"/>
                  <c:pt idx="0">
                    <c:v>15.6967395351466</c:v>
                  </c:pt>
                  <c:pt idx="1">
                    <c:v>466.73724361856227</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([4]blaSHV!$K$23,[4]blaSHV!$K$46,[4]blaSHV!$K$69,[4]blaSHV!$K$92)</c:f>
              <c:numCache>
                <c:formatCode>General</c:formatCode>
                <c:ptCount val="4"/>
                <c:pt idx="0">
                  <c:v>42.995162705580398</c:v>
                </c:pt>
                <c:pt idx="1">
                  <c:v>7025.2395790222217</c:v>
                </c:pt>
                <c:pt idx="2">
                  <c:v>0</c:v>
                </c:pt>
                <c:pt idx="3">
                  <c:v>0</c:v>
                </c:pt>
              </c:numCache>
            </c:numRef>
          </c:val>
          <c:extLst>
            <c:ext xmlns:c16="http://schemas.microsoft.com/office/drawing/2014/chart" uri="{C3380CC4-5D6E-409C-BE32-E72D297353CC}">
              <c16:uniqueId val="{0000000E-8554-4607-B2BB-79F345827D52}"/>
            </c:ext>
          </c:extLst>
        </c:ser>
        <c:ser>
          <c:idx val="15"/>
          <c:order val="15"/>
          <c:tx>
            <c:v>Park 6</c:v>
          </c:tx>
          <c:spPr>
            <a:solidFill>
              <a:schemeClr val="accent6"/>
            </a:solidFill>
            <a:ln w="12700" cap="flat">
              <a:solidFill>
                <a:schemeClr val="accent6"/>
              </a:solidFill>
              <a:miter lim="400000"/>
            </a:ln>
            <a:effectLst/>
          </c:spPr>
          <c:invertIfNegative val="0"/>
          <c:errBars>
            <c:errBarType val="both"/>
            <c:errValType val="cust"/>
            <c:noEndCap val="0"/>
            <c:plus>
              <c:numRef>
                <c:f>([4]blaSHV!$M$24,[4]blaSHV!$M$47,[4]blaSHV!$M$70,[4]blaSHV!$M$93)</c:f>
                <c:numCache>
                  <c:formatCode>General</c:formatCode>
                  <c:ptCount val="4"/>
                  <c:pt idx="0">
                    <c:v>8.649077863610918</c:v>
                  </c:pt>
                  <c:pt idx="1">
                    <c:v>284.5788991364314</c:v>
                  </c:pt>
                  <c:pt idx="2">
                    <c:v>33.303541501362432</c:v>
                  </c:pt>
                  <c:pt idx="3">
                    <c:v>0</c:v>
                  </c:pt>
                </c:numCache>
              </c:numRef>
            </c:plus>
            <c:minus>
              <c:numRef>
                <c:f>([4]blaSHV!$M$24,[4]blaSHV!$M$47,[4]blaSHV!$M$70,[4]blaSHV!$M$93)</c:f>
                <c:numCache>
                  <c:formatCode>General</c:formatCode>
                  <c:ptCount val="4"/>
                  <c:pt idx="0">
                    <c:v>8.649077863610918</c:v>
                  </c:pt>
                  <c:pt idx="1">
                    <c:v>284.5788991364314</c:v>
                  </c:pt>
                  <c:pt idx="2">
                    <c:v>33.303541501362432</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([4]blaSHV!$K$24,[4]blaSHV!$K$47,[4]blaSHV!$K$70,[4]blaSHV!$K$93)</c:f>
              <c:numCache>
                <c:formatCode>General</c:formatCode>
                <c:ptCount val="4"/>
                <c:pt idx="0">
                  <c:v>9.6781219728290981</c:v>
                </c:pt>
                <c:pt idx="1">
                  <c:v>2590.6901889777778</c:v>
                </c:pt>
                <c:pt idx="2">
                  <c:v>1324.4260511398311</c:v>
                </c:pt>
                <c:pt idx="3">
                  <c:v>7.1281327211968346</c:v>
                </c:pt>
              </c:numCache>
            </c:numRef>
          </c:val>
          <c:extLst>
            <c:ext xmlns:c16="http://schemas.microsoft.com/office/drawing/2014/chart" uri="{C3380CC4-5D6E-409C-BE32-E72D297353CC}">
              <c16:uniqueId val="{0000000F-8554-4607-B2BB-79F345827D52}"/>
            </c:ext>
          </c:extLst>
        </c:ser>
        <c:ser>
          <c:idx val="16"/>
          <c:order val="16"/>
          <c:tx>
            <c:v>Site 6.2</c:v>
          </c:tx>
          <c:spPr>
            <a:solidFill>
              <a:schemeClr val="accent6"/>
            </a:solidFill>
            <a:ln w="12700" cap="flat">
              <a:noFill/>
              <a:miter lim="400000"/>
            </a:ln>
            <a:effectLst/>
          </c:spPr>
          <c:invertIfNegative val="0"/>
          <c:errBars>
            <c:errBarType val="both"/>
            <c:errValType val="cust"/>
            <c:noEndCap val="0"/>
            <c:plus>
              <c:numRef>
                <c:f>([4]blaSHV!$M$25,[4]blaSHV!$M$48,[4]blaSHV!$M$71,[4]blaSHV!$M$94)</c:f>
                <c:numCache>
                  <c:formatCode>General</c:formatCode>
                  <c:ptCount val="4"/>
                  <c:pt idx="0">
                    <c:v>10.913742798731199</c:v>
                  </c:pt>
                  <c:pt idx="1">
                    <c:v>1040.484738110822</c:v>
                  </c:pt>
                  <c:pt idx="2">
                    <c:v>148.79853431383799</c:v>
                  </c:pt>
                  <c:pt idx="3">
                    <c:v>0</c:v>
                  </c:pt>
                </c:numCache>
              </c:numRef>
            </c:plus>
            <c:minus>
              <c:numRef>
                <c:f>([4]blaSHV!$M$25,[4]blaSHV!$M$48,[4]blaSHV!$M$71,[4]blaSHV!$M$94)</c:f>
                <c:numCache>
                  <c:formatCode>General</c:formatCode>
                  <c:ptCount val="4"/>
                  <c:pt idx="0">
                    <c:v>10.913742798731199</c:v>
                  </c:pt>
                  <c:pt idx="1">
                    <c:v>1040.484738110822</c:v>
                  </c:pt>
                  <c:pt idx="2">
                    <c:v>148.79853431383799</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([4]blaSHV!$K$25,[4]blaSHV!$K$48,[4]blaSHV!$K$71,[4]blaSHV!$K$94)</c:f>
              <c:numCache>
                <c:formatCode>General</c:formatCode>
                <c:ptCount val="4"/>
                <c:pt idx="0">
                  <c:v>21.570272122820221</c:v>
                </c:pt>
                <c:pt idx="1">
                  <c:v>1975.295257422222</c:v>
                </c:pt>
                <c:pt idx="2">
                  <c:v>1088.24015434583</c:v>
                </c:pt>
                <c:pt idx="3">
                  <c:v>78.591865962145306</c:v>
                </c:pt>
              </c:numCache>
            </c:numRef>
          </c:val>
          <c:extLst>
            <c:ext xmlns:c16="http://schemas.microsoft.com/office/drawing/2014/chart" uri="{C3380CC4-5D6E-409C-BE32-E72D297353CC}">
              <c16:uniqueId val="{00000010-8554-4607-B2BB-79F345827D52}"/>
            </c:ext>
          </c:extLst>
        </c:ser>
        <c:ser>
          <c:idx val="17"/>
          <c:order val="17"/>
          <c:tx>
            <c:v>Site 6.3</c:v>
          </c:tx>
          <c:spPr>
            <a:solidFill>
              <a:schemeClr val="accent6"/>
            </a:solidFill>
            <a:ln w="12700" cap="flat">
              <a:noFill/>
              <a:miter lim="400000"/>
            </a:ln>
            <a:effectLst/>
          </c:spPr>
          <c:invertIfNegative val="0"/>
          <c:errBars>
            <c:errBarType val="both"/>
            <c:errValType val="cust"/>
            <c:noEndCap val="0"/>
            <c:plus>
              <c:numRef>
                <c:f>([4]blaSHV!$M$26,[4]blaSHV!$M$49,[4]blaSHV!$M$72,[4]blaSHV!$M$95)</c:f>
                <c:numCache>
                  <c:formatCode>General</c:formatCode>
                  <c:ptCount val="4"/>
                  <c:pt idx="0">
                    <c:v>42.708401083531157</c:v>
                  </c:pt>
                  <c:pt idx="1">
                    <c:v>486.49620493131692</c:v>
                  </c:pt>
                  <c:pt idx="2">
                    <c:v>0</c:v>
                  </c:pt>
                  <c:pt idx="3">
                    <c:v>0</c:v>
                  </c:pt>
                </c:numCache>
              </c:numRef>
            </c:plus>
            <c:minus>
              <c:numRef>
                <c:f>([4]blaSHV!$M$26,[4]blaSHV!$M$49,[4]blaSHV!$M$72,[4]blaSHV!$M$95)</c:f>
                <c:numCache>
                  <c:formatCode>General</c:formatCode>
                  <c:ptCount val="4"/>
                  <c:pt idx="0">
                    <c:v>42.708401083531157</c:v>
                  </c:pt>
                  <c:pt idx="1">
                    <c:v>486.49620493131692</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([4]blaSHV!$K$26,[4]blaSHV!$K$49,[4]blaSHV!$K$72,[4]blaSHV!$K$95)</c:f>
              <c:numCache>
                <c:formatCode>General</c:formatCode>
                <c:ptCount val="4"/>
                <c:pt idx="0">
                  <c:v>33.34702875361581</c:v>
                </c:pt>
                <c:pt idx="1">
                  <c:v>2275.0030793688888</c:v>
                </c:pt>
                <c:pt idx="2">
                  <c:v>0</c:v>
                </c:pt>
                <c:pt idx="3">
                  <c:v>0</c:v>
                </c:pt>
              </c:numCache>
            </c:numRef>
          </c:val>
          <c:extLst>
            <c:ext xmlns:c16="http://schemas.microsoft.com/office/drawing/2014/chart" uri="{C3380CC4-5D6E-409C-BE32-E72D297353CC}">
              <c16:uniqueId val="{00000011-8554-4607-B2BB-79F345827D52}"/>
            </c:ext>
          </c:extLst>
        </c:ser>
        <c:dLbls>
          <c:showLegendKey val="0"/>
          <c:showVal val="0"/>
          <c:showCatName val="0"/>
          <c:showSerName val="0"/>
          <c:showPercent val="0"/>
          <c:showBubbleSize val="0"/>
        </c:dLbls>
        <c:gapWidth val="150"/>
        <c:axId val="-2104199776"/>
        <c:axId val="-2104353168"/>
      </c:barChart>
      <c:catAx>
        <c:axId val="-2104199776"/>
        <c:scaling>
          <c:orientation val="minMax"/>
        </c:scaling>
        <c:delete val="0"/>
        <c:axPos val="b"/>
        <c:numFmt formatCode="General" sourceLinked="1"/>
        <c:majorTickMark val="out"/>
        <c:minorTickMark val="none"/>
        <c:tickLblPos val="low"/>
        <c:spPr>
          <a:ln w="12700" cap="flat">
            <a:solidFill>
              <a:srgbClr val="D9D9D9"/>
            </a:solidFill>
            <a:prstDash val="solid"/>
            <a:round/>
          </a:ln>
        </c:spPr>
        <c:txPr>
          <a:bodyPr rot="0"/>
          <a:lstStyle/>
          <a:p>
            <a:pPr>
              <a:defRPr sz="1000" b="1"/>
            </a:pPr>
            <a:endParaRPr lang="en-US"/>
          </a:p>
        </c:txPr>
        <c:crossAx val="-2104353168"/>
        <c:crossesAt val="0.01"/>
        <c:auto val="1"/>
        <c:lblAlgn val="ctr"/>
        <c:lblOffset val="100"/>
        <c:noMultiLvlLbl val="1"/>
      </c:catAx>
      <c:valAx>
        <c:axId val="-2104353168"/>
        <c:scaling>
          <c:logBase val="10"/>
          <c:orientation val="minMax"/>
          <c:max val="100000"/>
          <c:min val="0.01"/>
        </c:scaling>
        <c:delete val="0"/>
        <c:axPos val="l"/>
        <c:majorGridlines>
          <c:spPr>
            <a:ln w="12700" cap="flat">
              <a:noFill/>
              <a:prstDash val="solid"/>
              <a:round/>
            </a:ln>
          </c:spPr>
        </c:majorGridlines>
        <c:title>
          <c:tx>
            <c:rich>
              <a:bodyPr rot="-5400000"/>
              <a:lstStyle/>
              <a:p>
                <a:pPr>
                  <a:defRPr sz="1000"/>
                </a:pPr>
                <a:r>
                  <a:rPr lang="en-US" sz="1000"/>
                  <a:t>Copy number/L</a:t>
                </a:r>
                <a:br>
                  <a:rPr lang="en-US" sz="1000"/>
                </a:br>
                <a:r>
                  <a:rPr lang="en-US" sz="1000"/>
                  <a:t>of</a:t>
                </a:r>
                <a:r>
                  <a:rPr lang="en-US" sz="1000" baseline="0"/>
                  <a:t> </a:t>
                </a:r>
                <a:r>
                  <a:rPr lang="en-US" sz="1000"/>
                  <a:t>water</a:t>
                </a:r>
              </a:p>
            </c:rich>
          </c:tx>
          <c:layout>
            <c:manualLayout>
              <c:xMode val="edge"/>
              <c:yMode val="edge"/>
              <c:x val="4.0281424877577398E-3"/>
              <c:y val="0.25277604442568902"/>
            </c:manualLayout>
          </c:layout>
          <c:overlay val="1"/>
        </c:title>
        <c:numFmt formatCode="0.0E+00" sourceLinked="0"/>
        <c:majorTickMark val="none"/>
        <c:minorTickMark val="none"/>
        <c:tickLblPos val="nextTo"/>
        <c:spPr>
          <a:ln w="12700" cap="flat">
            <a:solidFill>
              <a:schemeClr val="bg1">
                <a:lumMod val="85000"/>
              </a:schemeClr>
            </a:solidFill>
            <a:prstDash val="solid"/>
            <a:round/>
          </a:ln>
        </c:spPr>
        <c:txPr>
          <a:bodyPr rot="0"/>
          <a:lstStyle/>
          <a:p>
            <a:pPr>
              <a:defRPr sz="800"/>
            </a:pPr>
            <a:endParaRPr lang="en-US"/>
          </a:p>
        </c:txPr>
        <c:crossAx val="-2104199776"/>
        <c:crosses val="autoZero"/>
        <c:crossBetween val="between"/>
      </c:valAx>
      <c:spPr>
        <a:noFill/>
        <a:ln w="12700" cap="flat">
          <a:noFill/>
          <a:miter lim="400000"/>
        </a:ln>
        <a:effectLst/>
      </c:spPr>
    </c:plotArea>
    <c:legend>
      <c:legendPos val="r"/>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10"/>
        <c:delete val="1"/>
      </c:legendEntry>
      <c:legendEntry>
        <c:idx val="11"/>
        <c:delete val="1"/>
      </c:legendEntry>
      <c:legendEntry>
        <c:idx val="13"/>
        <c:delete val="1"/>
      </c:legendEntry>
      <c:legendEntry>
        <c:idx val="14"/>
        <c:delete val="1"/>
      </c:legendEntry>
      <c:legendEntry>
        <c:idx val="16"/>
        <c:delete val="1"/>
      </c:legendEntry>
      <c:legendEntry>
        <c:idx val="17"/>
        <c:delete val="1"/>
      </c:legendEntry>
      <c:layout>
        <c:manualLayout>
          <c:xMode val="edge"/>
          <c:yMode val="edge"/>
          <c:x val="0.83185805976147997"/>
          <c:y val="5.25170142848164E-2"/>
          <c:w val="0.16430895151263999"/>
          <c:h val="0.41688188891606398"/>
        </c:manualLayout>
      </c:layout>
      <c:overlay val="1"/>
      <c:spPr>
        <a:noFill/>
        <a:ln w="12700" cap="flat">
          <a:noFill/>
          <a:miter lim="400000"/>
        </a:ln>
        <a:effectLst/>
      </c:spPr>
      <c:txPr>
        <a:bodyPr rot="0"/>
        <a:lstStyle/>
        <a:p>
          <a:pPr>
            <a:defRPr sz="800"/>
          </a:pPr>
          <a:endParaRPr lang="en-US"/>
        </a:p>
      </c:txPr>
    </c:legend>
    <c:plotVisOnly val="1"/>
    <c:dispBlanksAs val="gap"/>
    <c:showDLblsOverMax val="1"/>
  </c:chart>
  <c:spPr>
    <a:solidFill>
      <a:srgbClr val="FFFFFF"/>
    </a:solidFill>
    <a:ln w="12700" cap="flat">
      <a:solidFill>
        <a:srgbClr val="D9D9D9"/>
      </a:solidFill>
      <a:prstDash val="solid"/>
      <a:round/>
    </a:ln>
    <a:effectLst/>
  </c:spPr>
  <c:txPr>
    <a:bodyPr/>
    <a:lstStyle/>
    <a:p>
      <a:pPr>
        <a:defRPr sz="1200">
          <a:latin typeface="Helvetica"/>
          <a:cs typeface="Helvetic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400"/>
            </a:pPr>
            <a:r>
              <a:rPr lang="en-US" sz="1400" i="1"/>
              <a:t>sul</a:t>
            </a:r>
            <a:r>
              <a:rPr lang="en-US" sz="1400"/>
              <a:t>1 Copies in Tap Water</a:t>
            </a:r>
          </a:p>
        </c:rich>
      </c:tx>
      <c:layout>
        <c:manualLayout>
          <c:xMode val="edge"/>
          <c:yMode val="edge"/>
          <c:x val="0.31347219599543802"/>
          <c:y val="3.08408253935364E-2"/>
          <c:w val="0.235684"/>
          <c:h val="0.1129"/>
        </c:manualLayout>
      </c:layout>
      <c:overlay val="1"/>
      <c:spPr>
        <a:noFill/>
        <a:effectLst/>
      </c:spPr>
    </c:title>
    <c:autoTitleDeleted val="0"/>
    <c:plotArea>
      <c:layout>
        <c:manualLayout>
          <c:layoutTarget val="inner"/>
          <c:xMode val="edge"/>
          <c:yMode val="edge"/>
          <c:x val="0.196918440750462"/>
          <c:y val="0.16086837625782899"/>
          <c:w val="0.78106882473024197"/>
          <c:h val="0.67719169113156097"/>
        </c:manualLayout>
      </c:layout>
      <c:barChart>
        <c:barDir val="col"/>
        <c:grouping val="clustered"/>
        <c:varyColors val="0"/>
        <c:ser>
          <c:idx val="0"/>
          <c:order val="0"/>
          <c:tx>
            <c:v>Park 1</c:v>
          </c:tx>
          <c:spPr>
            <a:solidFill>
              <a:schemeClr val="accent1"/>
            </a:solidFill>
            <a:ln w="12700" cap="flat">
              <a:solidFill>
                <a:schemeClr val="accent1"/>
              </a:solidFill>
              <a:miter lim="400000"/>
            </a:ln>
            <a:effectLst/>
          </c:spPr>
          <c:invertIfNegative val="0"/>
          <c:errBars>
            <c:errBarType val="both"/>
            <c:errValType val="cust"/>
            <c:noEndCap val="0"/>
            <c:plus>
              <c:numRef>
                <c:f>([4]sul1!$M$9,[4]sul1!$M$32,[4]sul1!$M$55,[4]sul1!$M$78)</c:f>
                <c:numCache>
                  <c:formatCode>General</c:formatCode>
                  <c:ptCount val="4"/>
                  <c:pt idx="0">
                    <c:v>716591.85897835542</c:v>
                  </c:pt>
                  <c:pt idx="1">
                    <c:v>0</c:v>
                  </c:pt>
                  <c:pt idx="2">
                    <c:v>0</c:v>
                  </c:pt>
                  <c:pt idx="3">
                    <c:v>0</c:v>
                  </c:pt>
                </c:numCache>
              </c:numRef>
            </c:plus>
            <c:minus>
              <c:numRef>
                <c:f>([4]sul1!$M$9,[4]sul1!$M$32,[4]sul1!$M$55,[4]sul1!$M$78)</c:f>
                <c:numCache>
                  <c:formatCode>General</c:formatCode>
                  <c:ptCount val="4"/>
                  <c:pt idx="0">
                    <c:v>716591.85897835542</c:v>
                  </c:pt>
                  <c:pt idx="1">
                    <c:v>0</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([4]sul1!$K$9,[4]sul1!$K$32,[4]sul1!$K$55,[4]sul1!$K$78)</c:f>
              <c:numCache>
                <c:formatCode>General</c:formatCode>
                <c:ptCount val="4"/>
                <c:pt idx="0">
                  <c:v>7018923.0466037299</c:v>
                </c:pt>
                <c:pt idx="1">
                  <c:v>0</c:v>
                </c:pt>
                <c:pt idx="2">
                  <c:v>0</c:v>
                </c:pt>
                <c:pt idx="3">
                  <c:v>0</c:v>
                </c:pt>
              </c:numCache>
            </c:numRef>
          </c:val>
          <c:extLst>
            <c:ext xmlns:c16="http://schemas.microsoft.com/office/drawing/2014/chart" uri="{C3380CC4-5D6E-409C-BE32-E72D297353CC}">
              <c16:uniqueId val="{00000000-82A9-46CB-AC8F-8E90276C9956}"/>
            </c:ext>
          </c:extLst>
        </c:ser>
        <c:ser>
          <c:idx val="1"/>
          <c:order val="1"/>
          <c:tx>
            <c:v>Site 1.2</c:v>
          </c:tx>
          <c:spPr>
            <a:solidFill>
              <a:schemeClr val="accent1"/>
            </a:solidFill>
            <a:ln w="12700" cap="flat">
              <a:noFill/>
              <a:miter lim="400000"/>
            </a:ln>
            <a:effectLst/>
          </c:spPr>
          <c:invertIfNegative val="0"/>
          <c:errBars>
            <c:errBarType val="both"/>
            <c:errValType val="cust"/>
            <c:noEndCap val="0"/>
            <c:plus>
              <c:numRef>
                <c:f>([4]sul1!$M$10,[4]sul1!$M$33,[4]sul1!$M$56,[4]sul1!$M$79)</c:f>
                <c:numCache>
                  <c:formatCode>General</c:formatCode>
                  <c:ptCount val="4"/>
                  <c:pt idx="0">
                    <c:v>606680.43548700598</c:v>
                  </c:pt>
                  <c:pt idx="1">
                    <c:v>0</c:v>
                  </c:pt>
                  <c:pt idx="2">
                    <c:v>73.058567047119411</c:v>
                  </c:pt>
                  <c:pt idx="3">
                    <c:v>0</c:v>
                  </c:pt>
                </c:numCache>
              </c:numRef>
            </c:plus>
            <c:minus>
              <c:numRef>
                <c:f>([4]sul1!$M$10,[4]sul1!$M$33,[4]sul1!$M$56,[4]sul1!$M$79)</c:f>
                <c:numCache>
                  <c:formatCode>General</c:formatCode>
                  <c:ptCount val="4"/>
                  <c:pt idx="0">
                    <c:v>606680.43548700598</c:v>
                  </c:pt>
                  <c:pt idx="1">
                    <c:v>0</c:v>
                  </c:pt>
                  <c:pt idx="2">
                    <c:v>73.058567047119411</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([4]sul1!$K$10,[4]sul1!$K$33,[4]sul1!$K$56,[4]sul1!$K$79)</c:f>
              <c:numCache>
                <c:formatCode>General</c:formatCode>
                <c:ptCount val="4"/>
                <c:pt idx="0">
                  <c:v>7840280.1432291698</c:v>
                </c:pt>
                <c:pt idx="1">
                  <c:v>0</c:v>
                </c:pt>
                <c:pt idx="2">
                  <c:v>867.18804359436058</c:v>
                </c:pt>
                <c:pt idx="3">
                  <c:v>0</c:v>
                </c:pt>
              </c:numCache>
            </c:numRef>
          </c:val>
          <c:extLst>
            <c:ext xmlns:c16="http://schemas.microsoft.com/office/drawing/2014/chart" uri="{C3380CC4-5D6E-409C-BE32-E72D297353CC}">
              <c16:uniqueId val="{00000001-82A9-46CB-AC8F-8E90276C9956}"/>
            </c:ext>
          </c:extLst>
        </c:ser>
        <c:ser>
          <c:idx val="2"/>
          <c:order val="2"/>
          <c:tx>
            <c:v>Site 1.3</c:v>
          </c:tx>
          <c:spPr>
            <a:solidFill>
              <a:schemeClr val="accent1"/>
            </a:solidFill>
            <a:ln w="12700" cap="flat">
              <a:noFill/>
              <a:miter lim="400000"/>
            </a:ln>
            <a:effectLst/>
          </c:spPr>
          <c:invertIfNegative val="0"/>
          <c:errBars>
            <c:errBarType val="both"/>
            <c:errValType val="cust"/>
            <c:noEndCap val="0"/>
            <c:plus>
              <c:numRef>
                <c:f>([4]sul1!$M$11,[4]sul1!$M$34,[4]sul1!$M$57,[4]sul1!$M$80)</c:f>
                <c:numCache>
                  <c:formatCode>General</c:formatCode>
                  <c:ptCount val="4"/>
                  <c:pt idx="0">
                    <c:v>163491.52335673029</c:v>
                  </c:pt>
                  <c:pt idx="1">
                    <c:v>0</c:v>
                  </c:pt>
                  <c:pt idx="2">
                    <c:v>0</c:v>
                  </c:pt>
                  <c:pt idx="3">
                    <c:v>0</c:v>
                  </c:pt>
                </c:numCache>
              </c:numRef>
            </c:plus>
            <c:minus>
              <c:numRef>
                <c:f>([4]sul1!$M$11,[4]sul1!$M$34,[4]sul1!$M$57,[4]sul1!$M$80)</c:f>
                <c:numCache>
                  <c:formatCode>General</c:formatCode>
                  <c:ptCount val="4"/>
                  <c:pt idx="0">
                    <c:v>163491.52335673029</c:v>
                  </c:pt>
                  <c:pt idx="1">
                    <c:v>0</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([4]sul1!$K$11,[4]sul1!$K$34,[4]sul1!$K$57,[4]sul1!$K$80)</c:f>
              <c:numCache>
                <c:formatCode>General</c:formatCode>
                <c:ptCount val="4"/>
                <c:pt idx="0">
                  <c:v>7748911.8267144104</c:v>
                </c:pt>
                <c:pt idx="1">
                  <c:v>0</c:v>
                </c:pt>
                <c:pt idx="2">
                  <c:v>0</c:v>
                </c:pt>
                <c:pt idx="3">
                  <c:v>0</c:v>
                </c:pt>
              </c:numCache>
            </c:numRef>
          </c:val>
          <c:extLst>
            <c:ext xmlns:c16="http://schemas.microsoft.com/office/drawing/2014/chart" uri="{C3380CC4-5D6E-409C-BE32-E72D297353CC}">
              <c16:uniqueId val="{00000002-82A9-46CB-AC8F-8E90276C9956}"/>
            </c:ext>
          </c:extLst>
        </c:ser>
        <c:ser>
          <c:idx val="3"/>
          <c:order val="3"/>
          <c:tx>
            <c:v>Park 2</c:v>
          </c:tx>
          <c:spPr>
            <a:solidFill>
              <a:schemeClr val="accent2"/>
            </a:solidFill>
            <a:ln w="12700" cap="flat">
              <a:solidFill>
                <a:schemeClr val="accent2"/>
              </a:solidFill>
              <a:miter lim="400000"/>
            </a:ln>
            <a:effectLst/>
          </c:spPr>
          <c:invertIfNegative val="0"/>
          <c:errBars>
            <c:errBarType val="both"/>
            <c:errValType val="cust"/>
            <c:noEndCap val="0"/>
            <c:plus>
              <c:numRef>
                <c:f>([4]sul1!$M$12,[4]sul1!$M$35,[4]sul1!$M$58,[4]sul1!$M$81)</c:f>
                <c:numCache>
                  <c:formatCode>General</c:formatCode>
                  <c:ptCount val="4"/>
                  <c:pt idx="0">
                    <c:v>3920.3990994095748</c:v>
                  </c:pt>
                  <c:pt idx="1">
                    <c:v>0</c:v>
                  </c:pt>
                  <c:pt idx="2">
                    <c:v>0</c:v>
                  </c:pt>
                  <c:pt idx="3">
                    <c:v>0</c:v>
                  </c:pt>
                </c:numCache>
              </c:numRef>
            </c:plus>
            <c:minus>
              <c:numRef>
                <c:f>([4]sul1!$M$12,[4]sul1!$M$35,[4]sul1!$M$58,[4]sul1!$M$81)</c:f>
                <c:numCache>
                  <c:formatCode>General</c:formatCode>
                  <c:ptCount val="4"/>
                  <c:pt idx="0">
                    <c:v>3920.3990994095748</c:v>
                  </c:pt>
                  <c:pt idx="1">
                    <c:v>0</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([4]sul1!$K$12,[4]sul1!$K$35,[4]sul1!$K$58,[4]sul1!$K$81)</c:f>
              <c:numCache>
                <c:formatCode>General</c:formatCode>
                <c:ptCount val="4"/>
                <c:pt idx="0">
                  <c:v>20335.814954969621</c:v>
                </c:pt>
                <c:pt idx="1">
                  <c:v>0</c:v>
                </c:pt>
                <c:pt idx="2">
                  <c:v>0</c:v>
                </c:pt>
                <c:pt idx="3">
                  <c:v>0</c:v>
                </c:pt>
              </c:numCache>
            </c:numRef>
          </c:val>
          <c:extLst>
            <c:ext xmlns:c16="http://schemas.microsoft.com/office/drawing/2014/chart" uri="{C3380CC4-5D6E-409C-BE32-E72D297353CC}">
              <c16:uniqueId val="{00000003-82A9-46CB-AC8F-8E90276C9956}"/>
            </c:ext>
          </c:extLst>
        </c:ser>
        <c:ser>
          <c:idx val="4"/>
          <c:order val="4"/>
          <c:tx>
            <c:v>Site 2.2</c:v>
          </c:tx>
          <c:spPr>
            <a:solidFill>
              <a:schemeClr val="accent2"/>
            </a:solidFill>
            <a:ln w="12700" cap="flat">
              <a:noFill/>
              <a:miter lim="400000"/>
            </a:ln>
            <a:effectLst/>
          </c:spPr>
          <c:invertIfNegative val="0"/>
          <c:errBars>
            <c:errBarType val="both"/>
            <c:errValType val="cust"/>
            <c:noEndCap val="0"/>
            <c:plus>
              <c:numRef>
                <c:f>([4]sul1!$M$13,[4]sul1!$M$36,[4]sul1!$M$59,[4]sul1!$M$82)</c:f>
                <c:numCache>
                  <c:formatCode>General</c:formatCode>
                  <c:ptCount val="4"/>
                  <c:pt idx="0">
                    <c:v>30316.58949516451</c:v>
                  </c:pt>
                  <c:pt idx="1">
                    <c:v>1.50210105</c:v>
                  </c:pt>
                  <c:pt idx="2">
                    <c:v>0</c:v>
                  </c:pt>
                  <c:pt idx="3">
                    <c:v>0</c:v>
                  </c:pt>
                </c:numCache>
              </c:numRef>
            </c:plus>
            <c:minus>
              <c:numRef>
                <c:f>([4]sul1!$M$13,[4]sul1!$M$36,[4]sul1!$M$59,[4]sul1!$M$82)</c:f>
                <c:numCache>
                  <c:formatCode>General</c:formatCode>
                  <c:ptCount val="4"/>
                  <c:pt idx="0">
                    <c:v>30316.58949516451</c:v>
                  </c:pt>
                  <c:pt idx="1">
                    <c:v>1.50210105</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([4]sul1!$K$13,[4]sul1!$K$36,[4]sul1!$K$59,[4]sul1!$K$82)</c:f>
              <c:numCache>
                <c:formatCode>General</c:formatCode>
                <c:ptCount val="4"/>
                <c:pt idx="0">
                  <c:v>22043.76448631287</c:v>
                </c:pt>
                <c:pt idx="1">
                  <c:v>3.32548697</c:v>
                </c:pt>
                <c:pt idx="2">
                  <c:v>0</c:v>
                </c:pt>
                <c:pt idx="3">
                  <c:v>0</c:v>
                </c:pt>
              </c:numCache>
            </c:numRef>
          </c:val>
          <c:extLst>
            <c:ext xmlns:c16="http://schemas.microsoft.com/office/drawing/2014/chart" uri="{C3380CC4-5D6E-409C-BE32-E72D297353CC}">
              <c16:uniqueId val="{00000004-82A9-46CB-AC8F-8E90276C9956}"/>
            </c:ext>
          </c:extLst>
        </c:ser>
        <c:ser>
          <c:idx val="5"/>
          <c:order val="5"/>
          <c:tx>
            <c:v>Site 2.3</c:v>
          </c:tx>
          <c:spPr>
            <a:solidFill>
              <a:schemeClr val="accent2"/>
            </a:solidFill>
            <a:ln w="12700" cap="flat">
              <a:noFill/>
              <a:miter lim="400000"/>
            </a:ln>
            <a:effectLst/>
          </c:spPr>
          <c:invertIfNegative val="0"/>
          <c:errBars>
            <c:errBarType val="both"/>
            <c:errValType val="cust"/>
            <c:noEndCap val="0"/>
            <c:plus>
              <c:numRef>
                <c:f>([4]sul1!$M$14,[4]sul1!$M$37,[4]sul1!$M$60,[4]sul1!$M$83)</c:f>
                <c:numCache>
                  <c:formatCode>General</c:formatCode>
                  <c:ptCount val="4"/>
                  <c:pt idx="0">
                    <c:v>3168.8232714102442</c:v>
                  </c:pt>
                  <c:pt idx="1">
                    <c:v>3.2906556</c:v>
                  </c:pt>
                  <c:pt idx="2">
                    <c:v>0</c:v>
                  </c:pt>
                  <c:pt idx="3">
                    <c:v>0</c:v>
                  </c:pt>
                </c:numCache>
              </c:numRef>
            </c:plus>
            <c:minus>
              <c:numRef>
                <c:f>([4]sul1!$M$14,[4]sul1!$M$37,[4]sul1!$M$60,[4]sul1!$M$83)</c:f>
                <c:numCache>
                  <c:formatCode>General</c:formatCode>
                  <c:ptCount val="4"/>
                  <c:pt idx="0">
                    <c:v>3168.8232714102442</c:v>
                  </c:pt>
                  <c:pt idx="1">
                    <c:v>3.2906556</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([4]sul1!$K$14,[4]sul1!$K$37,[4]sul1!$K$60,[4]sul1!$K$83)</c:f>
              <c:numCache>
                <c:formatCode>General</c:formatCode>
                <c:ptCount val="4"/>
                <c:pt idx="0">
                  <c:v>7228.9139556884766</c:v>
                </c:pt>
                <c:pt idx="1">
                  <c:v>100.40122031999999</c:v>
                </c:pt>
                <c:pt idx="2">
                  <c:v>0</c:v>
                </c:pt>
                <c:pt idx="3">
                  <c:v>0</c:v>
                </c:pt>
              </c:numCache>
            </c:numRef>
          </c:val>
          <c:extLst>
            <c:ext xmlns:c16="http://schemas.microsoft.com/office/drawing/2014/chart" uri="{C3380CC4-5D6E-409C-BE32-E72D297353CC}">
              <c16:uniqueId val="{00000005-82A9-46CB-AC8F-8E90276C9956}"/>
            </c:ext>
          </c:extLst>
        </c:ser>
        <c:ser>
          <c:idx val="6"/>
          <c:order val="6"/>
          <c:tx>
            <c:v>Park 3</c:v>
          </c:tx>
          <c:spPr>
            <a:solidFill>
              <a:srgbClr val="A6A6A6"/>
            </a:solidFill>
            <a:ln w="12700" cap="flat">
              <a:solidFill>
                <a:schemeClr val="bg1">
                  <a:lumMod val="65000"/>
                </a:schemeClr>
              </a:solidFill>
              <a:miter lim="400000"/>
            </a:ln>
            <a:effectLst/>
          </c:spPr>
          <c:invertIfNegative val="0"/>
          <c:errBars>
            <c:errBarType val="both"/>
            <c:errValType val="cust"/>
            <c:noEndCap val="0"/>
            <c:plus>
              <c:numRef>
                <c:f>([4]sul1!$M$15,[4]sul1!$M$38,[4]sul1!$M$61,[4]sul1!$M$84)</c:f>
                <c:numCache>
                  <c:formatCode>General</c:formatCode>
                  <c:ptCount val="4"/>
                  <c:pt idx="0">
                    <c:v>460.60906251271598</c:v>
                  </c:pt>
                  <c:pt idx="1">
                    <c:v>0</c:v>
                  </c:pt>
                  <c:pt idx="2">
                    <c:v>0</c:v>
                  </c:pt>
                  <c:pt idx="3">
                    <c:v>0</c:v>
                  </c:pt>
                </c:numCache>
              </c:numRef>
            </c:plus>
            <c:minus>
              <c:numRef>
                <c:f>([4]sul1!$M$15,[4]sul1!$M$38,[4]sul1!$M$61,[4]sul1!$M$84)</c:f>
                <c:numCache>
                  <c:formatCode>General</c:formatCode>
                  <c:ptCount val="4"/>
                  <c:pt idx="0">
                    <c:v>460.60906251271598</c:v>
                  </c:pt>
                  <c:pt idx="1">
                    <c:v>0</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([4]sul1!$K$15,[4]sul1!$K$38,[4]sul1!$K$61,[4]sul1!$K$84)</c:f>
              <c:numCache>
                <c:formatCode>General</c:formatCode>
                <c:ptCount val="4"/>
                <c:pt idx="0">
                  <c:v>1349.929416974386</c:v>
                </c:pt>
                <c:pt idx="1">
                  <c:v>0</c:v>
                </c:pt>
                <c:pt idx="2">
                  <c:v>0</c:v>
                </c:pt>
                <c:pt idx="3">
                  <c:v>0</c:v>
                </c:pt>
              </c:numCache>
            </c:numRef>
          </c:val>
          <c:extLst>
            <c:ext xmlns:c16="http://schemas.microsoft.com/office/drawing/2014/chart" uri="{C3380CC4-5D6E-409C-BE32-E72D297353CC}">
              <c16:uniqueId val="{00000006-82A9-46CB-AC8F-8E90276C9956}"/>
            </c:ext>
          </c:extLst>
        </c:ser>
        <c:ser>
          <c:idx val="7"/>
          <c:order val="7"/>
          <c:tx>
            <c:v>Site 3.2</c:v>
          </c:tx>
          <c:spPr>
            <a:solidFill>
              <a:srgbClr val="A7A7A7"/>
            </a:solidFill>
            <a:ln w="12700" cap="flat">
              <a:noFill/>
              <a:miter lim="400000"/>
            </a:ln>
            <a:effectLst/>
          </c:spPr>
          <c:invertIfNegative val="0"/>
          <c:errBars>
            <c:errBarType val="both"/>
            <c:errValType val="cust"/>
            <c:noEndCap val="0"/>
            <c:plus>
              <c:numRef>
                <c:f>([4]sul1!$M$16,[4]sul1!$M$39,[4]sul1!$M$62,[4]sul1!$M$85)</c:f>
                <c:numCache>
                  <c:formatCode>General</c:formatCode>
                  <c:ptCount val="4"/>
                  <c:pt idx="0">
                    <c:v>830.85548164504598</c:v>
                  </c:pt>
                  <c:pt idx="1">
                    <c:v>0.81910521000000003</c:v>
                  </c:pt>
                  <c:pt idx="2">
                    <c:v>0</c:v>
                  </c:pt>
                  <c:pt idx="3">
                    <c:v>0</c:v>
                  </c:pt>
                </c:numCache>
              </c:numRef>
            </c:plus>
            <c:minus>
              <c:numRef>
                <c:f>([4]sul1!$M$16,[4]sul1!$M$39,[4]sul1!$M$62,[4]sul1!$M$85)</c:f>
                <c:numCache>
                  <c:formatCode>General</c:formatCode>
                  <c:ptCount val="4"/>
                  <c:pt idx="0">
                    <c:v>830.85548164504598</c:v>
                  </c:pt>
                  <c:pt idx="1">
                    <c:v>0.81910521000000003</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([4]sul1!$K$16,[4]sul1!$K$39,[4]sul1!$K$62,[4]sul1!$K$85)</c:f>
              <c:numCache>
                <c:formatCode>General</c:formatCode>
                <c:ptCount val="4"/>
                <c:pt idx="0">
                  <c:v>2479.5302539401582</c:v>
                </c:pt>
                <c:pt idx="1">
                  <c:v>1.49336019</c:v>
                </c:pt>
                <c:pt idx="2">
                  <c:v>0</c:v>
                </c:pt>
                <c:pt idx="3">
                  <c:v>0</c:v>
                </c:pt>
              </c:numCache>
            </c:numRef>
          </c:val>
          <c:extLst>
            <c:ext xmlns:c16="http://schemas.microsoft.com/office/drawing/2014/chart" uri="{C3380CC4-5D6E-409C-BE32-E72D297353CC}">
              <c16:uniqueId val="{00000007-82A9-46CB-AC8F-8E90276C9956}"/>
            </c:ext>
          </c:extLst>
        </c:ser>
        <c:ser>
          <c:idx val="8"/>
          <c:order val="8"/>
          <c:tx>
            <c:v>Site 3.3</c:v>
          </c:tx>
          <c:spPr>
            <a:solidFill>
              <a:srgbClr val="A7A7A7"/>
            </a:solidFill>
            <a:ln w="12700" cap="flat">
              <a:noFill/>
              <a:miter lim="400000"/>
            </a:ln>
            <a:effectLst/>
          </c:spPr>
          <c:invertIfNegative val="0"/>
          <c:errBars>
            <c:errBarType val="both"/>
            <c:errValType val="cust"/>
            <c:noEndCap val="0"/>
            <c:plus>
              <c:numRef>
                <c:f>([4]sul1!$M$17,[4]sul1!$M$40,[4]sul1!$M$63,[4]sul1!$M$86)</c:f>
                <c:numCache>
                  <c:formatCode>General</c:formatCode>
                  <c:ptCount val="4"/>
                  <c:pt idx="0">
                    <c:v>1615.6854318730771</c:v>
                  </c:pt>
                  <c:pt idx="1">
                    <c:v>117.34808202000001</c:v>
                  </c:pt>
                  <c:pt idx="2">
                    <c:v>0</c:v>
                  </c:pt>
                  <c:pt idx="3">
                    <c:v>0</c:v>
                  </c:pt>
                </c:numCache>
              </c:numRef>
            </c:plus>
            <c:minus>
              <c:numRef>
                <c:f>([4]sul1!$M$17,[4]sul1!$M$40,[4]sul1!$M$63,[4]sul1!$M$86)</c:f>
                <c:numCache>
                  <c:formatCode>General</c:formatCode>
                  <c:ptCount val="4"/>
                  <c:pt idx="0">
                    <c:v>1615.6854318730771</c:v>
                  </c:pt>
                  <c:pt idx="1">
                    <c:v>117.34808202000001</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([4]sul1!$K$17,[4]sul1!$K$40,[4]sul1!$K$63,[4]sul1!$K$86)</c:f>
              <c:numCache>
                <c:formatCode>General</c:formatCode>
                <c:ptCount val="4"/>
                <c:pt idx="0">
                  <c:v>1968.6840152740481</c:v>
                </c:pt>
                <c:pt idx="1">
                  <c:v>345.83711021999892</c:v>
                </c:pt>
                <c:pt idx="2">
                  <c:v>0</c:v>
                </c:pt>
                <c:pt idx="3">
                  <c:v>0</c:v>
                </c:pt>
              </c:numCache>
            </c:numRef>
          </c:val>
          <c:extLst>
            <c:ext xmlns:c16="http://schemas.microsoft.com/office/drawing/2014/chart" uri="{C3380CC4-5D6E-409C-BE32-E72D297353CC}">
              <c16:uniqueId val="{00000008-82A9-46CB-AC8F-8E90276C9956}"/>
            </c:ext>
          </c:extLst>
        </c:ser>
        <c:ser>
          <c:idx val="9"/>
          <c:order val="9"/>
          <c:tx>
            <c:v>Park 4</c:v>
          </c:tx>
          <c:spPr>
            <a:solidFill>
              <a:schemeClr val="accent4"/>
            </a:solidFill>
            <a:ln w="12700" cap="flat">
              <a:solidFill>
                <a:schemeClr val="accent4"/>
              </a:solidFill>
              <a:miter lim="400000"/>
            </a:ln>
            <a:effectLst/>
          </c:spPr>
          <c:invertIfNegative val="0"/>
          <c:errBars>
            <c:errBarType val="both"/>
            <c:errValType val="cust"/>
            <c:noEndCap val="0"/>
            <c:plus>
              <c:numRef>
                <c:f>([4]sul1!$M$18,[4]sul1!$M$41,[4]sul1!$M$64,[4]sul1!$M$87)</c:f>
                <c:numCache>
                  <c:formatCode>General</c:formatCode>
                  <c:ptCount val="4"/>
                  <c:pt idx="0">
                    <c:v>11613.36888983447</c:v>
                  </c:pt>
                  <c:pt idx="1">
                    <c:v>4201.9764143911671</c:v>
                  </c:pt>
                  <c:pt idx="2">
                    <c:v>0</c:v>
                  </c:pt>
                  <c:pt idx="3">
                    <c:v>0</c:v>
                  </c:pt>
                </c:numCache>
              </c:numRef>
            </c:plus>
            <c:minus>
              <c:numRef>
                <c:f>([4]sul1!$M$18,[4]sul1!$M$41,[4]sul1!$M$64,[4]sul1!$M$87)</c:f>
                <c:numCache>
                  <c:formatCode>General</c:formatCode>
                  <c:ptCount val="4"/>
                  <c:pt idx="0">
                    <c:v>11613.36888983447</c:v>
                  </c:pt>
                  <c:pt idx="1">
                    <c:v>4201.9764143911671</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([4]sul1!$K$18,[4]sul1!$K$41,[4]sul1!$K$64,[4]sul1!$K$87)</c:f>
              <c:numCache>
                <c:formatCode>General</c:formatCode>
                <c:ptCount val="4"/>
                <c:pt idx="0">
                  <c:v>28489.209283192951</c:v>
                </c:pt>
                <c:pt idx="1">
                  <c:v>8238.5381212088869</c:v>
                </c:pt>
                <c:pt idx="2">
                  <c:v>0</c:v>
                </c:pt>
                <c:pt idx="3">
                  <c:v>0</c:v>
                </c:pt>
              </c:numCache>
            </c:numRef>
          </c:val>
          <c:extLst>
            <c:ext xmlns:c16="http://schemas.microsoft.com/office/drawing/2014/chart" uri="{C3380CC4-5D6E-409C-BE32-E72D297353CC}">
              <c16:uniqueId val="{00000009-82A9-46CB-AC8F-8E90276C9956}"/>
            </c:ext>
          </c:extLst>
        </c:ser>
        <c:ser>
          <c:idx val="10"/>
          <c:order val="10"/>
          <c:tx>
            <c:v>Site 4.2</c:v>
          </c:tx>
          <c:spPr>
            <a:solidFill>
              <a:schemeClr val="accent4"/>
            </a:solidFill>
            <a:ln w="12700" cap="flat">
              <a:noFill/>
              <a:miter lim="400000"/>
            </a:ln>
            <a:effectLst/>
          </c:spPr>
          <c:invertIfNegative val="0"/>
          <c:errBars>
            <c:errBarType val="both"/>
            <c:errValType val="cust"/>
            <c:noEndCap val="0"/>
            <c:plus>
              <c:numRef>
                <c:f>([4]sul1!$M$19,[4]sul1!$M$42,[4]sul1!$M$65,[4]sul1!$M$88)</c:f>
                <c:numCache>
                  <c:formatCode>General</c:formatCode>
                  <c:ptCount val="4"/>
                  <c:pt idx="0">
                    <c:v>12867.01063996337</c:v>
                  </c:pt>
                  <c:pt idx="1">
                    <c:v>3883.3908954495441</c:v>
                  </c:pt>
                  <c:pt idx="2">
                    <c:v>377.12981032434402</c:v>
                  </c:pt>
                  <c:pt idx="3">
                    <c:v>0</c:v>
                  </c:pt>
                </c:numCache>
              </c:numRef>
            </c:plus>
            <c:minus>
              <c:numRef>
                <c:f>([4]sul1!$M$19,[4]sul1!$M$42,[4]sul1!$M$65,[4]sul1!$M$88)</c:f>
                <c:numCache>
                  <c:formatCode>General</c:formatCode>
                  <c:ptCount val="4"/>
                  <c:pt idx="0">
                    <c:v>12867.01063996337</c:v>
                  </c:pt>
                  <c:pt idx="1">
                    <c:v>3883.3908954495441</c:v>
                  </c:pt>
                  <c:pt idx="2">
                    <c:v>377.12981032434402</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([4]sul1!$K$19,[4]sul1!$K$42,[4]sul1!$K$65,[4]sul1!$K$88)</c:f>
              <c:numCache>
                <c:formatCode>General</c:formatCode>
                <c:ptCount val="4"/>
                <c:pt idx="0">
                  <c:v>26702.648634380759</c:v>
                </c:pt>
                <c:pt idx="1">
                  <c:v>12862.226914166669</c:v>
                </c:pt>
                <c:pt idx="2">
                  <c:v>577.89606120851306</c:v>
                </c:pt>
                <c:pt idx="3">
                  <c:v>0</c:v>
                </c:pt>
              </c:numCache>
            </c:numRef>
          </c:val>
          <c:extLst>
            <c:ext xmlns:c16="http://schemas.microsoft.com/office/drawing/2014/chart" uri="{C3380CC4-5D6E-409C-BE32-E72D297353CC}">
              <c16:uniqueId val="{0000000A-82A9-46CB-AC8F-8E90276C9956}"/>
            </c:ext>
          </c:extLst>
        </c:ser>
        <c:ser>
          <c:idx val="11"/>
          <c:order val="11"/>
          <c:tx>
            <c:v>Site 4.3</c:v>
          </c:tx>
          <c:spPr>
            <a:solidFill>
              <a:schemeClr val="accent4"/>
            </a:solidFill>
            <a:ln w="12700" cap="flat">
              <a:noFill/>
              <a:miter lim="400000"/>
            </a:ln>
            <a:effectLst/>
          </c:spPr>
          <c:invertIfNegative val="0"/>
          <c:errBars>
            <c:errBarType val="both"/>
            <c:errValType val="cust"/>
            <c:noEndCap val="0"/>
            <c:plus>
              <c:numRef>
                <c:f>([4]sul1!$M$20,[4]sul1!$M$43,[4]sul1!$M$66,[4]sul1!$M$89)</c:f>
                <c:numCache>
                  <c:formatCode>General</c:formatCode>
                  <c:ptCount val="4"/>
                  <c:pt idx="0">
                    <c:v>1466.385009640657</c:v>
                  </c:pt>
                  <c:pt idx="1">
                    <c:v>0</c:v>
                  </c:pt>
                  <c:pt idx="2">
                    <c:v>0</c:v>
                  </c:pt>
                  <c:pt idx="3">
                    <c:v>0</c:v>
                  </c:pt>
                </c:numCache>
              </c:numRef>
            </c:plus>
            <c:minus>
              <c:numRef>
                <c:f>([4]sul1!$M$20,[4]sul1!$M$43,[4]sul1!$M$66,[4]sul1!$M$89)</c:f>
                <c:numCache>
                  <c:formatCode>General</c:formatCode>
                  <c:ptCount val="4"/>
                  <c:pt idx="0">
                    <c:v>1466.385009640657</c:v>
                  </c:pt>
                  <c:pt idx="1">
                    <c:v>0</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([4]sul1!$K$20,[4]sul1!$K$43,[4]sul1!$K$66,[4]sul1!$K$89)</c:f>
              <c:numCache>
                <c:formatCode>General</c:formatCode>
                <c:ptCount val="4"/>
                <c:pt idx="0">
                  <c:v>1699.6687130795581</c:v>
                </c:pt>
                <c:pt idx="1">
                  <c:v>0</c:v>
                </c:pt>
                <c:pt idx="2">
                  <c:v>0</c:v>
                </c:pt>
                <c:pt idx="3">
                  <c:v>0</c:v>
                </c:pt>
              </c:numCache>
            </c:numRef>
          </c:val>
          <c:extLst>
            <c:ext xmlns:c16="http://schemas.microsoft.com/office/drawing/2014/chart" uri="{C3380CC4-5D6E-409C-BE32-E72D297353CC}">
              <c16:uniqueId val="{0000000B-82A9-46CB-AC8F-8E90276C9956}"/>
            </c:ext>
          </c:extLst>
        </c:ser>
        <c:ser>
          <c:idx val="12"/>
          <c:order val="12"/>
          <c:tx>
            <c:v>Park 5</c:v>
          </c:tx>
          <c:spPr>
            <a:solidFill>
              <a:schemeClr val="accent5"/>
            </a:solidFill>
            <a:ln w="12700" cap="flat">
              <a:solidFill>
                <a:schemeClr val="accent5"/>
              </a:solidFill>
              <a:miter lim="400000"/>
            </a:ln>
            <a:effectLst/>
          </c:spPr>
          <c:invertIfNegative val="0"/>
          <c:errBars>
            <c:errBarType val="both"/>
            <c:errValType val="cust"/>
            <c:noEndCap val="0"/>
            <c:plus>
              <c:numRef>
                <c:f>([4]sul1!$M$21,[4]sul1!$M$44,[4]sul1!$M$67,[4]sul1!$M$90)</c:f>
                <c:numCache>
                  <c:formatCode>General</c:formatCode>
                  <c:ptCount val="4"/>
                  <c:pt idx="0">
                    <c:v>31892.76229669504</c:v>
                  </c:pt>
                  <c:pt idx="1">
                    <c:v>0</c:v>
                  </c:pt>
                  <c:pt idx="2">
                    <c:v>0</c:v>
                  </c:pt>
                  <c:pt idx="3">
                    <c:v>786.94871036228858</c:v>
                  </c:pt>
                </c:numCache>
              </c:numRef>
            </c:plus>
            <c:minus>
              <c:numRef>
                <c:f>([4]sul1!$M$21,[4]sul1!$M$44,[4]sul1!$M$67,[4]sul1!$M$90)</c:f>
                <c:numCache>
                  <c:formatCode>General</c:formatCode>
                  <c:ptCount val="4"/>
                  <c:pt idx="0">
                    <c:v>31892.76229669504</c:v>
                  </c:pt>
                  <c:pt idx="1">
                    <c:v>0</c:v>
                  </c:pt>
                  <c:pt idx="2">
                    <c:v>0</c:v>
                  </c:pt>
                  <c:pt idx="3">
                    <c:v>786.94871036228858</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([4]sul1!$K$21,[4]sul1!$K$44,[4]sul1!$K$67,[4]sul1!$K$90)</c:f>
              <c:numCache>
                <c:formatCode>General</c:formatCode>
                <c:ptCount val="4"/>
                <c:pt idx="0">
                  <c:v>187764.9116516113</c:v>
                </c:pt>
                <c:pt idx="1">
                  <c:v>0</c:v>
                </c:pt>
                <c:pt idx="2">
                  <c:v>0</c:v>
                </c:pt>
                <c:pt idx="3">
                  <c:v>2551.1851415311121</c:v>
                </c:pt>
              </c:numCache>
            </c:numRef>
          </c:val>
          <c:extLst>
            <c:ext xmlns:c16="http://schemas.microsoft.com/office/drawing/2014/chart" uri="{C3380CC4-5D6E-409C-BE32-E72D297353CC}">
              <c16:uniqueId val="{0000000C-82A9-46CB-AC8F-8E90276C9956}"/>
            </c:ext>
          </c:extLst>
        </c:ser>
        <c:ser>
          <c:idx val="13"/>
          <c:order val="13"/>
          <c:tx>
            <c:v>Site 5.2</c:v>
          </c:tx>
          <c:spPr>
            <a:solidFill>
              <a:schemeClr val="accent5"/>
            </a:solidFill>
            <a:ln w="12700" cap="flat">
              <a:noFill/>
              <a:miter lim="400000"/>
            </a:ln>
            <a:effectLst/>
          </c:spPr>
          <c:invertIfNegative val="0"/>
          <c:errBars>
            <c:errBarType val="both"/>
            <c:errValType val="cust"/>
            <c:noEndCap val="0"/>
            <c:plus>
              <c:numRef>
                <c:f>([4]sul1!$M$22,[4]sul1!$M$45,[4]sul1!$M$68,[4]sul1!$M$91)</c:f>
                <c:numCache>
                  <c:formatCode>General</c:formatCode>
                  <c:ptCount val="4"/>
                  <c:pt idx="0">
                    <c:v>18614.552227337859</c:v>
                  </c:pt>
                  <c:pt idx="1">
                    <c:v>1068.6075704750001</c:v>
                  </c:pt>
                  <c:pt idx="2">
                    <c:v>0</c:v>
                  </c:pt>
                  <c:pt idx="3">
                    <c:v>0</c:v>
                  </c:pt>
                </c:numCache>
              </c:numRef>
            </c:plus>
            <c:minus>
              <c:numRef>
                <c:f>([4]sul1!$M$22,[4]sul1!$M$45,[4]sul1!$M$68,[4]sul1!$M$91)</c:f>
                <c:numCache>
                  <c:formatCode>General</c:formatCode>
                  <c:ptCount val="4"/>
                  <c:pt idx="0">
                    <c:v>18614.552227337859</c:v>
                  </c:pt>
                  <c:pt idx="1">
                    <c:v>1068.6075704750001</c:v>
                  </c:pt>
                  <c:pt idx="2">
                    <c:v>0</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([4]sul1!$K$22,[4]sul1!$K$45,[4]sul1!$K$68,[4]sul1!$K$91)</c:f>
              <c:numCache>
                <c:formatCode>General</c:formatCode>
                <c:ptCount val="4"/>
                <c:pt idx="0">
                  <c:v>130168.698425293</c:v>
                </c:pt>
                <c:pt idx="1">
                  <c:v>2221.6826807249481</c:v>
                </c:pt>
                <c:pt idx="2">
                  <c:v>0</c:v>
                </c:pt>
                <c:pt idx="3">
                  <c:v>0</c:v>
                </c:pt>
              </c:numCache>
            </c:numRef>
          </c:val>
          <c:extLst>
            <c:ext xmlns:c16="http://schemas.microsoft.com/office/drawing/2014/chart" uri="{C3380CC4-5D6E-409C-BE32-E72D297353CC}">
              <c16:uniqueId val="{0000000D-82A9-46CB-AC8F-8E90276C9956}"/>
            </c:ext>
          </c:extLst>
        </c:ser>
        <c:ser>
          <c:idx val="14"/>
          <c:order val="14"/>
          <c:tx>
            <c:v>Site 5.3</c:v>
          </c:tx>
          <c:spPr>
            <a:solidFill>
              <a:schemeClr val="accent5"/>
            </a:solidFill>
            <a:ln w="12700" cap="flat">
              <a:noFill/>
              <a:miter lim="400000"/>
            </a:ln>
            <a:effectLst/>
          </c:spPr>
          <c:invertIfNegative val="0"/>
          <c:errBars>
            <c:errBarType val="both"/>
            <c:errValType val="cust"/>
            <c:noEndCap val="0"/>
            <c:plus>
              <c:numRef>
                <c:f>([4]sul1!$M$23,[4]sul1!$M$46,[4]sul1!$M$69,[4]sul1!$M$92)</c:f>
                <c:numCache>
                  <c:formatCode>General</c:formatCode>
                  <c:ptCount val="4"/>
                  <c:pt idx="0">
                    <c:v>43794.16083592386</c:v>
                  </c:pt>
                  <c:pt idx="1">
                    <c:v>0</c:v>
                  </c:pt>
                  <c:pt idx="2">
                    <c:v>0</c:v>
                  </c:pt>
                  <c:pt idx="3">
                    <c:v>141.55650651389229</c:v>
                  </c:pt>
                </c:numCache>
              </c:numRef>
            </c:plus>
            <c:minus>
              <c:numRef>
                <c:f>([4]sul1!$M$23,[4]sul1!$M$46,[4]sul1!$M$69,[4]sul1!$M$92)</c:f>
                <c:numCache>
                  <c:formatCode>General</c:formatCode>
                  <c:ptCount val="4"/>
                  <c:pt idx="0">
                    <c:v>43794.16083592386</c:v>
                  </c:pt>
                  <c:pt idx="1">
                    <c:v>0</c:v>
                  </c:pt>
                  <c:pt idx="2">
                    <c:v>0</c:v>
                  </c:pt>
                  <c:pt idx="3">
                    <c:v>141.55650651389229</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([4]sul1!$K$23,[4]sul1!$K$46,[4]sul1!$K$69,[4]sul1!$K$92)</c:f>
              <c:numCache>
                <c:formatCode>General</c:formatCode>
                <c:ptCount val="4"/>
                <c:pt idx="0">
                  <c:v>254304.06622144909</c:v>
                </c:pt>
                <c:pt idx="1">
                  <c:v>0</c:v>
                </c:pt>
                <c:pt idx="2">
                  <c:v>0</c:v>
                </c:pt>
                <c:pt idx="3">
                  <c:v>1042.9889996888901</c:v>
                </c:pt>
              </c:numCache>
            </c:numRef>
          </c:val>
          <c:extLst>
            <c:ext xmlns:c16="http://schemas.microsoft.com/office/drawing/2014/chart" uri="{C3380CC4-5D6E-409C-BE32-E72D297353CC}">
              <c16:uniqueId val="{0000000E-82A9-46CB-AC8F-8E90276C9956}"/>
            </c:ext>
          </c:extLst>
        </c:ser>
        <c:ser>
          <c:idx val="15"/>
          <c:order val="15"/>
          <c:tx>
            <c:v>Park 6</c:v>
          </c:tx>
          <c:spPr>
            <a:solidFill>
              <a:schemeClr val="accent6"/>
            </a:solidFill>
            <a:ln w="12700" cap="flat">
              <a:solidFill>
                <a:schemeClr val="accent6"/>
              </a:solidFill>
              <a:miter lim="400000"/>
            </a:ln>
            <a:effectLst/>
          </c:spPr>
          <c:invertIfNegative val="0"/>
          <c:errBars>
            <c:errBarType val="both"/>
            <c:errValType val="cust"/>
            <c:noEndCap val="0"/>
            <c:plus>
              <c:numRef>
                <c:f>([4]sul1!$M$24,[4]sul1!$M$47,[4]sul1!$M$70,[4]sul1!$M$93)</c:f>
                <c:numCache>
                  <c:formatCode>General</c:formatCode>
                  <c:ptCount val="4"/>
                  <c:pt idx="0">
                    <c:v>4253.4608850785298</c:v>
                  </c:pt>
                  <c:pt idx="1">
                    <c:v>0</c:v>
                  </c:pt>
                  <c:pt idx="2">
                    <c:v>226.07578531901041</c:v>
                  </c:pt>
                  <c:pt idx="3">
                    <c:v>160.27350666666669</c:v>
                  </c:pt>
                </c:numCache>
              </c:numRef>
            </c:plus>
            <c:minus>
              <c:numRef>
                <c:f>([4]sul1!$M$24,[4]sul1!$M$47,[4]sul1!$M$70,[4]sul1!$M$93)</c:f>
                <c:numCache>
                  <c:formatCode>General</c:formatCode>
                  <c:ptCount val="4"/>
                  <c:pt idx="0">
                    <c:v>4253.4608850785298</c:v>
                  </c:pt>
                  <c:pt idx="1">
                    <c:v>0</c:v>
                  </c:pt>
                  <c:pt idx="2">
                    <c:v>226.07578531901041</c:v>
                  </c:pt>
                  <c:pt idx="3">
                    <c:v>160.27350666666669</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([4]sul1!$K$24,[4]sul1!$K$47,[4]sul1!$K$70,[4]sul1!$K$93)</c:f>
              <c:numCache>
                <c:formatCode>General</c:formatCode>
                <c:ptCount val="4"/>
                <c:pt idx="0">
                  <c:v>5585.339139699935</c:v>
                </c:pt>
                <c:pt idx="1">
                  <c:v>0</c:v>
                </c:pt>
                <c:pt idx="2">
                  <c:v>762.10347874959302</c:v>
                </c:pt>
                <c:pt idx="3">
                  <c:v>794.33733863999987</c:v>
                </c:pt>
              </c:numCache>
            </c:numRef>
          </c:val>
          <c:extLst>
            <c:ext xmlns:c16="http://schemas.microsoft.com/office/drawing/2014/chart" uri="{C3380CC4-5D6E-409C-BE32-E72D297353CC}">
              <c16:uniqueId val="{0000000F-82A9-46CB-AC8F-8E90276C9956}"/>
            </c:ext>
          </c:extLst>
        </c:ser>
        <c:ser>
          <c:idx val="16"/>
          <c:order val="16"/>
          <c:tx>
            <c:v>Site 6.2</c:v>
          </c:tx>
          <c:spPr>
            <a:solidFill>
              <a:schemeClr val="accent6"/>
            </a:solidFill>
            <a:ln w="12700" cap="flat">
              <a:noFill/>
              <a:miter lim="400000"/>
            </a:ln>
            <a:effectLst/>
          </c:spPr>
          <c:invertIfNegative val="0"/>
          <c:errBars>
            <c:errBarType val="both"/>
            <c:errValType val="cust"/>
            <c:noEndCap val="0"/>
            <c:plus>
              <c:numRef>
                <c:f>([4]sul1!$M$25,[4]sul1!$M$48,[4]sul1!$M$71,[4]sul1!$M$94)</c:f>
                <c:numCache>
                  <c:formatCode>General</c:formatCode>
                  <c:ptCount val="4"/>
                  <c:pt idx="0">
                    <c:v>8881.6808064778652</c:v>
                  </c:pt>
                  <c:pt idx="1">
                    <c:v>0</c:v>
                  </c:pt>
                  <c:pt idx="2">
                    <c:v>545.84989418775513</c:v>
                  </c:pt>
                  <c:pt idx="3">
                    <c:v>0</c:v>
                  </c:pt>
                </c:numCache>
              </c:numRef>
            </c:plus>
            <c:minus>
              <c:numRef>
                <c:f>([4]sul1!$M$25,[4]sul1!$M$48,[4]sul1!$M$71,[4]sul1!$M$94)</c:f>
                <c:numCache>
                  <c:formatCode>General</c:formatCode>
                  <c:ptCount val="4"/>
                  <c:pt idx="0">
                    <c:v>8881.6808064778652</c:v>
                  </c:pt>
                  <c:pt idx="1">
                    <c:v>0</c:v>
                  </c:pt>
                  <c:pt idx="2">
                    <c:v>545.84989418775513</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([4]sul1!$K$25,[4]sul1!$K$48,[4]sul1!$K$71,[4]sul1!$K$94)</c:f>
              <c:numCache>
                <c:formatCode>General</c:formatCode>
                <c:ptCount val="4"/>
                <c:pt idx="0">
                  <c:v>50952.89866129557</c:v>
                </c:pt>
                <c:pt idx="1">
                  <c:v>0</c:v>
                </c:pt>
                <c:pt idx="2">
                  <c:v>350.85764453249681</c:v>
                </c:pt>
                <c:pt idx="3">
                  <c:v>0</c:v>
                </c:pt>
              </c:numCache>
            </c:numRef>
          </c:val>
          <c:extLst>
            <c:ext xmlns:c16="http://schemas.microsoft.com/office/drawing/2014/chart" uri="{C3380CC4-5D6E-409C-BE32-E72D297353CC}">
              <c16:uniqueId val="{00000010-82A9-46CB-AC8F-8E90276C9956}"/>
            </c:ext>
          </c:extLst>
        </c:ser>
        <c:ser>
          <c:idx val="17"/>
          <c:order val="17"/>
          <c:tx>
            <c:v>Site 6.3</c:v>
          </c:tx>
          <c:spPr>
            <a:solidFill>
              <a:schemeClr val="accent6"/>
            </a:solidFill>
            <a:ln w="12700" cap="flat">
              <a:noFill/>
              <a:miter lim="400000"/>
            </a:ln>
            <a:effectLst/>
          </c:spPr>
          <c:invertIfNegative val="0"/>
          <c:errBars>
            <c:errBarType val="both"/>
            <c:errValType val="cust"/>
            <c:noEndCap val="0"/>
            <c:plus>
              <c:numRef>
                <c:f>([4]sul1!$M$26,[4]sul1!$M$49,[4]sul1!$M$72,[4]sul1!$M$95)</c:f>
                <c:numCache>
                  <c:formatCode>General</c:formatCode>
                  <c:ptCount val="4"/>
                  <c:pt idx="0">
                    <c:v>5106.2439047481366</c:v>
                  </c:pt>
                  <c:pt idx="1">
                    <c:v>0</c:v>
                  </c:pt>
                  <c:pt idx="2">
                    <c:v>599.80542624793145</c:v>
                  </c:pt>
                  <c:pt idx="3">
                    <c:v>0</c:v>
                  </c:pt>
                </c:numCache>
              </c:numRef>
            </c:plus>
            <c:minus>
              <c:numRef>
                <c:f>([4]sul1!$M$26,[4]sul1!$M$49,[4]sul1!$M$72,[4]sul1!$M$95)</c:f>
                <c:numCache>
                  <c:formatCode>General</c:formatCode>
                  <c:ptCount val="4"/>
                  <c:pt idx="0">
                    <c:v>5106.2439047481366</c:v>
                  </c:pt>
                  <c:pt idx="1">
                    <c:v>0</c:v>
                  </c:pt>
                  <c:pt idx="2">
                    <c:v>599.80542624793145</c:v>
                  </c:pt>
                  <c:pt idx="3">
                    <c:v>0</c:v>
                  </c:pt>
                </c:numCache>
              </c:numRef>
            </c:minus>
            <c:spPr>
              <a:noFill/>
              <a:ln w="9525" cap="flat">
                <a:solidFill>
                  <a:srgbClr val="000000"/>
                </a:solidFill>
                <a:prstDash val="solid"/>
                <a:round/>
              </a:ln>
              <a:effectLst/>
            </c:spPr>
          </c:errBars>
          <c:cat>
            <c:strRef>
              <c:f>(Sheet1!$M$24,Sheet1!$M$25,Sheet1!$M$26,Sheet1!$M$27)</c:f>
              <c:strCache>
                <c:ptCount val="4"/>
                <c:pt idx="0">
                  <c:v>Los Angeles</c:v>
                </c:pt>
                <c:pt idx="1">
                  <c:v>San Diego</c:v>
                </c:pt>
                <c:pt idx="2">
                  <c:v>Bakersfield</c:v>
                </c:pt>
                <c:pt idx="3">
                  <c:v>Fresno</c:v>
                </c:pt>
              </c:strCache>
            </c:strRef>
          </c:cat>
          <c:val>
            <c:numRef>
              <c:f>([4]sul1!$K$26,[4]sul1!$K$49,[4]sul1!$K$72,[4]sul1!$K$95)</c:f>
              <c:numCache>
                <c:formatCode>General</c:formatCode>
                <c:ptCount val="4"/>
                <c:pt idx="0">
                  <c:v>5083.4410111109419</c:v>
                </c:pt>
                <c:pt idx="1">
                  <c:v>0</c:v>
                </c:pt>
                <c:pt idx="2">
                  <c:v>487.96386351436371</c:v>
                </c:pt>
                <c:pt idx="3">
                  <c:v>0</c:v>
                </c:pt>
              </c:numCache>
            </c:numRef>
          </c:val>
          <c:extLst>
            <c:ext xmlns:c16="http://schemas.microsoft.com/office/drawing/2014/chart" uri="{C3380CC4-5D6E-409C-BE32-E72D297353CC}">
              <c16:uniqueId val="{00000011-82A9-46CB-AC8F-8E90276C9956}"/>
            </c:ext>
          </c:extLst>
        </c:ser>
        <c:dLbls>
          <c:showLegendKey val="0"/>
          <c:showVal val="0"/>
          <c:showCatName val="0"/>
          <c:showSerName val="0"/>
          <c:showPercent val="0"/>
          <c:showBubbleSize val="0"/>
        </c:dLbls>
        <c:gapWidth val="150"/>
        <c:axId val="-2058885056"/>
        <c:axId val="1798090032"/>
      </c:barChart>
      <c:catAx>
        <c:axId val="-2058885056"/>
        <c:scaling>
          <c:orientation val="minMax"/>
        </c:scaling>
        <c:delete val="0"/>
        <c:axPos val="b"/>
        <c:numFmt formatCode="General" sourceLinked="1"/>
        <c:majorTickMark val="out"/>
        <c:minorTickMark val="none"/>
        <c:tickLblPos val="low"/>
        <c:spPr>
          <a:ln w="12700" cap="flat">
            <a:solidFill>
              <a:srgbClr val="D9D9D9"/>
            </a:solidFill>
            <a:prstDash val="solid"/>
            <a:round/>
          </a:ln>
        </c:spPr>
        <c:txPr>
          <a:bodyPr rot="0"/>
          <a:lstStyle/>
          <a:p>
            <a:pPr>
              <a:defRPr sz="1000" b="1"/>
            </a:pPr>
            <a:endParaRPr lang="en-US"/>
          </a:p>
        </c:txPr>
        <c:crossAx val="1798090032"/>
        <c:crossesAt val="0.01"/>
        <c:auto val="1"/>
        <c:lblAlgn val="ctr"/>
        <c:lblOffset val="100"/>
        <c:noMultiLvlLbl val="1"/>
      </c:catAx>
      <c:valAx>
        <c:axId val="1798090032"/>
        <c:scaling>
          <c:logBase val="10"/>
          <c:orientation val="minMax"/>
          <c:min val="0.01"/>
        </c:scaling>
        <c:delete val="0"/>
        <c:axPos val="l"/>
        <c:majorGridlines>
          <c:spPr>
            <a:ln w="12700" cap="flat">
              <a:noFill/>
              <a:prstDash val="solid"/>
              <a:round/>
            </a:ln>
          </c:spPr>
        </c:majorGridlines>
        <c:title>
          <c:tx>
            <c:rich>
              <a:bodyPr rot="-5400000"/>
              <a:lstStyle/>
              <a:p>
                <a:pPr>
                  <a:defRPr sz="1000"/>
                </a:pPr>
                <a:r>
                  <a:rPr lang="en-US" sz="1000"/>
                  <a:t>Copy number/L</a:t>
                </a:r>
                <a:br>
                  <a:rPr lang="en-US" sz="1000"/>
                </a:br>
                <a:r>
                  <a:rPr lang="en-US" sz="1000"/>
                  <a:t>of water</a:t>
                </a:r>
              </a:p>
            </c:rich>
          </c:tx>
          <c:layout>
            <c:manualLayout>
              <c:xMode val="edge"/>
              <c:yMode val="edge"/>
              <c:x val="1.7748128706133899E-3"/>
              <c:y val="0.26008118821659798"/>
            </c:manualLayout>
          </c:layout>
          <c:overlay val="1"/>
        </c:title>
        <c:numFmt formatCode="0.0E+00" sourceLinked="0"/>
        <c:majorTickMark val="none"/>
        <c:minorTickMark val="none"/>
        <c:tickLblPos val="nextTo"/>
        <c:spPr>
          <a:ln w="12700" cap="flat">
            <a:solidFill>
              <a:schemeClr val="bg1">
                <a:lumMod val="85000"/>
              </a:schemeClr>
            </a:solidFill>
            <a:prstDash val="solid"/>
            <a:round/>
          </a:ln>
        </c:spPr>
        <c:txPr>
          <a:bodyPr rot="0"/>
          <a:lstStyle/>
          <a:p>
            <a:pPr>
              <a:defRPr sz="800"/>
            </a:pPr>
            <a:endParaRPr lang="en-US"/>
          </a:p>
        </c:txPr>
        <c:crossAx val="-2058885056"/>
        <c:crosses val="autoZero"/>
        <c:crossBetween val="between"/>
      </c:valAx>
      <c:spPr>
        <a:noFill/>
        <a:ln w="12700" cap="flat">
          <a:noFill/>
          <a:miter lim="400000"/>
        </a:ln>
        <a:effectLst/>
      </c:spPr>
    </c:plotArea>
    <c:legend>
      <c:legendPos val="r"/>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10"/>
        <c:delete val="1"/>
      </c:legendEntry>
      <c:legendEntry>
        <c:idx val="11"/>
        <c:delete val="1"/>
      </c:legendEntry>
      <c:legendEntry>
        <c:idx val="13"/>
        <c:delete val="1"/>
      </c:legendEntry>
      <c:legendEntry>
        <c:idx val="14"/>
        <c:delete val="1"/>
      </c:legendEntry>
      <c:legendEntry>
        <c:idx val="16"/>
        <c:delete val="1"/>
      </c:legendEntry>
      <c:legendEntry>
        <c:idx val="17"/>
        <c:delete val="1"/>
      </c:legendEntry>
      <c:layout>
        <c:manualLayout>
          <c:xMode val="edge"/>
          <c:yMode val="edge"/>
          <c:x val="0.42688719138172698"/>
          <c:y val="0.19584029805600101"/>
          <c:w val="0.34916297105661698"/>
          <c:h val="0.14627089070072"/>
        </c:manualLayout>
      </c:layout>
      <c:overlay val="1"/>
      <c:spPr>
        <a:noFill/>
        <a:ln w="12700" cap="flat">
          <a:noFill/>
          <a:miter lim="400000"/>
        </a:ln>
        <a:effectLst/>
      </c:spPr>
      <c:txPr>
        <a:bodyPr rot="0"/>
        <a:lstStyle/>
        <a:p>
          <a:pPr>
            <a:defRPr sz="800"/>
          </a:pPr>
          <a:endParaRPr lang="en-US"/>
        </a:p>
      </c:txPr>
    </c:legend>
    <c:plotVisOnly val="1"/>
    <c:dispBlanksAs val="gap"/>
    <c:showDLblsOverMax val="1"/>
  </c:chart>
  <c:spPr>
    <a:solidFill>
      <a:srgbClr val="FFFFFF"/>
    </a:solidFill>
    <a:ln w="12700" cap="flat">
      <a:solidFill>
        <a:srgbClr val="D9D9D9"/>
      </a:solidFill>
      <a:prstDash val="solid"/>
      <a:round/>
    </a:ln>
    <a:effectLst/>
  </c:spPr>
  <c:txPr>
    <a:bodyPr/>
    <a:lstStyle/>
    <a:p>
      <a:pPr>
        <a:defRPr sz="1200">
          <a:latin typeface="Helvetica"/>
          <a:cs typeface="Helvetic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FF53E4-BA6D-9749-ACFF-30DEE62ED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10337</Words>
  <Characters>58925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Jay</dc:creator>
  <cp:keywords/>
  <dc:description/>
  <cp:lastModifiedBy>Jenny Jay</cp:lastModifiedBy>
  <cp:revision>2</cp:revision>
  <cp:lastPrinted>2016-12-01T00:33:00Z</cp:lastPrinted>
  <dcterms:created xsi:type="dcterms:W3CDTF">2019-11-18T17:06:00Z</dcterms:created>
  <dcterms:modified xsi:type="dcterms:W3CDTF">2019-11-18T17:06:00Z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6447a0d8-043d-37b6-ade3-5a15e4b113f4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